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الاستصحاب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3881_380464308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613883_380464308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613885_3804643083">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613887_3804643083">
            <w:r>
              <w:rPr>
                <w:webHidden/>
                <w:rStyle w:val="IndexLink"/>
                <w:rtl w:val="true"/>
              </w:rPr>
              <w:t>مقدّمة التحقيق</w:t>
            </w:r>
            <w:r>
              <w:rPr>
                <w:rStyle w:val="IndexLink"/>
                <w:rtl w:val="true"/>
              </w:rPr>
              <w:tab/>
            </w:r>
            <w:r>
              <w:rPr>
                <w:rStyle w:val="IndexLink"/>
              </w:rPr>
              <w:t>10</w:t>
            </w:r>
          </w:hyperlink>
        </w:p>
        <w:p>
          <w:pPr>
            <w:pStyle w:val="Contents3"/>
            <w:tabs>
              <w:tab w:val="clear" w:pos="8459"/>
              <w:tab w:val="right" w:pos="9026" w:leader="dot"/>
            </w:tabs>
            <w:rPr/>
          </w:pPr>
          <w:hyperlink w:anchor="__RefHeading___Toc1613889_380464308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613891_3804643083">
            <w:r>
              <w:rPr>
                <w:webHidden/>
                <w:rStyle w:val="IndexLink"/>
                <w:rtl w:val="true"/>
              </w:rPr>
              <w:t>حول الكتاب و مؤلفه سماحة الإمام رضوان اللَّه عليه</w:t>
            </w:r>
            <w:r>
              <w:rPr>
                <w:rStyle w:val="IndexLink"/>
                <w:rtl w:val="true"/>
              </w:rPr>
              <w:t>:</w:t>
              <w:tab/>
            </w:r>
            <w:r>
              <w:rPr>
                <w:rStyle w:val="IndexLink"/>
              </w:rPr>
              <w:t>16</w:t>
            </w:r>
          </w:hyperlink>
        </w:p>
        <w:p>
          <w:pPr>
            <w:pStyle w:val="Contents3"/>
            <w:tabs>
              <w:tab w:val="clear" w:pos="8459"/>
              <w:tab w:val="right" w:pos="9026" w:leader="dot"/>
            </w:tabs>
            <w:rPr/>
          </w:pPr>
          <w:hyperlink w:anchor="__RefHeading___Toc1613893_3804643083">
            <w:r>
              <w:rPr>
                <w:webHidden/>
                <w:rStyle w:val="IndexLink"/>
                <w:rtl w:val="true"/>
              </w:rPr>
              <w:t>منهج التحقيق</w:t>
            </w:r>
            <w:r>
              <w:rPr>
                <w:rStyle w:val="IndexLink"/>
                <w:rtl w:val="true"/>
              </w:rPr>
              <w:t>:</w:t>
              <w:tab/>
            </w:r>
            <w:r>
              <w:rPr>
                <w:rStyle w:val="IndexLink"/>
              </w:rPr>
              <w:t>20</w:t>
            </w:r>
          </w:hyperlink>
        </w:p>
        <w:p>
          <w:pPr>
            <w:pStyle w:val="Contents2"/>
            <w:tabs>
              <w:tab w:val="clear" w:pos="8743"/>
              <w:tab w:val="right" w:pos="9026" w:leader="dot"/>
            </w:tabs>
            <w:rPr/>
          </w:pPr>
          <w:hyperlink w:anchor="__RefHeading___Toc1613895_3804643083">
            <w:r>
              <w:rPr>
                <w:webHidden/>
                <w:rStyle w:val="IndexLink"/>
                <w:rtl w:val="true"/>
              </w:rPr>
              <w:t>فصل في تعريف الاستصحاب</w:t>
            </w:r>
            <w:r>
              <w:rPr>
                <w:rStyle w:val="IndexLink"/>
                <w:rtl w:val="true"/>
              </w:rPr>
              <w:tab/>
            </w:r>
            <w:r>
              <w:rPr>
                <w:rStyle w:val="IndexLink"/>
              </w:rPr>
              <w:t>22</w:t>
            </w:r>
          </w:hyperlink>
        </w:p>
        <w:p>
          <w:pPr>
            <w:pStyle w:val="Contents3"/>
            <w:tabs>
              <w:tab w:val="clear" w:pos="8459"/>
              <w:tab w:val="right" w:pos="9026" w:leader="dot"/>
            </w:tabs>
            <w:rPr/>
          </w:pPr>
          <w:hyperlink w:anchor="__RefHeading___Toc1613897_3804643083">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613899_3804643083">
            <w:r>
              <w:rPr>
                <w:webHidden/>
                <w:rStyle w:val="IndexLink"/>
                <w:rtl w:val="true"/>
              </w:rPr>
              <w:t>الأمر الأوّل</w:t>
            </w:r>
            <w:r>
              <w:rPr>
                <w:rStyle w:val="IndexLink"/>
                <w:rtl w:val="true"/>
              </w:rPr>
              <w:t xml:space="preserve">: </w:t>
            </w:r>
            <w:r>
              <w:rPr>
                <w:rStyle w:val="IndexLink"/>
                <w:rtl w:val="true"/>
              </w:rPr>
              <w:t>الاحتمالات التي في الباب</w:t>
            </w:r>
            <w:r>
              <w:rPr>
                <w:rStyle w:val="IndexLink"/>
                <w:rtl w:val="true"/>
              </w:rPr>
              <w:tab/>
            </w:r>
            <w:r>
              <w:rPr>
                <w:rStyle w:val="IndexLink"/>
              </w:rPr>
              <w:t>26</w:t>
            </w:r>
          </w:hyperlink>
        </w:p>
        <w:p>
          <w:pPr>
            <w:pStyle w:val="Contents3"/>
            <w:tabs>
              <w:tab w:val="clear" w:pos="8459"/>
              <w:tab w:val="right" w:pos="9026" w:leader="dot"/>
            </w:tabs>
            <w:rPr/>
          </w:pPr>
          <w:hyperlink w:anchor="__RefHeading___Toc1613901_3804643083">
            <w:r>
              <w:rPr>
                <w:webHidden/>
                <w:rStyle w:val="IndexLink"/>
                <w:rtl w:val="true"/>
              </w:rPr>
              <w:t>الأمر الثاني</w:t>
            </w:r>
            <w:r>
              <w:rPr>
                <w:rStyle w:val="IndexLink"/>
                <w:rtl w:val="true"/>
              </w:rPr>
              <w:t xml:space="preserve">: </w:t>
            </w:r>
            <w:r>
              <w:rPr>
                <w:rStyle w:val="IndexLink"/>
                <w:rtl w:val="true"/>
              </w:rPr>
              <w:t>الاستصحاب ليس من الأدلّة الأربعة</w:t>
            </w:r>
            <w:r>
              <w:rPr>
                <w:rStyle w:val="IndexLink"/>
                <w:rtl w:val="true"/>
              </w:rPr>
              <w:tab/>
            </w:r>
            <w:r>
              <w:rPr>
                <w:rStyle w:val="IndexLink"/>
              </w:rPr>
              <w:t>27</w:t>
            </w:r>
          </w:hyperlink>
        </w:p>
        <w:p>
          <w:pPr>
            <w:pStyle w:val="Contents4"/>
            <w:tabs>
              <w:tab w:val="clear" w:pos="8176"/>
              <w:tab w:val="right" w:pos="9026" w:leader="dot"/>
            </w:tabs>
            <w:rPr/>
          </w:pPr>
          <w:hyperlink w:anchor="__RefHeading___Toc1613903_3804643083">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613905_3804643083">
            <w:r>
              <w:rPr>
                <w:webHidden/>
                <w:rStyle w:val="IndexLink"/>
                <w:rtl w:val="true"/>
              </w:rPr>
              <w:t>تنبيه في ضابط المسألة الاصولية و أنَّ الاستصحاب منها</w:t>
            </w:r>
            <w:r>
              <w:rPr>
                <w:rStyle w:val="IndexLink"/>
                <w:rtl w:val="true"/>
              </w:rPr>
              <w:tab/>
            </w:r>
            <w:r>
              <w:rPr>
                <w:rStyle w:val="IndexLink"/>
              </w:rPr>
              <w:t>31</w:t>
            </w:r>
          </w:hyperlink>
        </w:p>
        <w:p>
          <w:pPr>
            <w:pStyle w:val="Contents2"/>
            <w:tabs>
              <w:tab w:val="clear" w:pos="8743"/>
              <w:tab w:val="right" w:pos="9026" w:leader="dot"/>
            </w:tabs>
            <w:rPr/>
          </w:pPr>
          <w:hyperlink w:anchor="__RefHeading___Toc1613907_3804643083">
            <w:r>
              <w:rPr>
                <w:webHidden/>
                <w:rStyle w:val="IndexLink"/>
                <w:rtl w:val="true"/>
              </w:rPr>
              <w:t>فصل حال جريان الاستصحاب في الأحكام العقليّة</w:t>
            </w:r>
            <w:r>
              <w:rPr>
                <w:rStyle w:val="IndexLink"/>
                <w:rtl w:val="true"/>
              </w:rPr>
              <w:tab/>
            </w:r>
            <w:r>
              <w:rPr>
                <w:rStyle w:val="IndexLink"/>
              </w:rPr>
              <w:t>32</w:t>
            </w:r>
          </w:hyperlink>
        </w:p>
        <w:p>
          <w:pPr>
            <w:pStyle w:val="Contents3"/>
            <w:tabs>
              <w:tab w:val="clear" w:pos="8459"/>
              <w:tab w:val="right" w:pos="9026" w:leader="dot"/>
            </w:tabs>
            <w:rPr/>
          </w:pPr>
          <w:hyperlink w:anchor="__RefHeading___Toc1613909_3804643083">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1613911_3804643083">
            <w:r>
              <w:rPr>
                <w:webHidden/>
                <w:rStyle w:val="IndexLink"/>
                <w:rtl w:val="true"/>
              </w:rPr>
              <w:t>الإشكالات الواردة على الشيخ الأنصاري و جوابها</w:t>
            </w:r>
            <w:r>
              <w:rPr>
                <w:rStyle w:val="IndexLink"/>
                <w:rtl w:val="true"/>
              </w:rPr>
              <w:tab/>
            </w:r>
            <w:r>
              <w:rPr>
                <w:rStyle w:val="IndexLink"/>
              </w:rPr>
              <w:t>33</w:t>
            </w:r>
          </w:hyperlink>
        </w:p>
        <w:p>
          <w:pPr>
            <w:pStyle w:val="Contents3"/>
            <w:tabs>
              <w:tab w:val="clear" w:pos="8459"/>
              <w:tab w:val="right" w:pos="9026" w:leader="dot"/>
            </w:tabs>
            <w:rPr/>
          </w:pPr>
          <w:hyperlink w:anchor="__RefHeading___Toc1613913_3804643083">
            <w:r>
              <w:rPr>
                <w:webHidden/>
                <w:rStyle w:val="IndexLink"/>
                <w:rtl w:val="true"/>
              </w:rPr>
              <w:t>في تحقيق الحال في المقام</w:t>
            </w:r>
            <w:r>
              <w:rPr>
                <w:rStyle w:val="IndexLink"/>
                <w:rtl w:val="true"/>
              </w:rPr>
              <w:tab/>
            </w:r>
            <w:r>
              <w:rPr>
                <w:rStyle w:val="IndexLink"/>
              </w:rPr>
              <w:t>36</w:t>
            </w:r>
          </w:hyperlink>
        </w:p>
        <w:p>
          <w:pPr>
            <w:pStyle w:val="Contents2"/>
            <w:tabs>
              <w:tab w:val="clear" w:pos="8743"/>
              <w:tab w:val="right" w:pos="9026" w:leader="dot"/>
            </w:tabs>
            <w:rPr/>
          </w:pPr>
          <w:hyperlink w:anchor="__RefHeading___Toc1613915_3804643083">
            <w:r>
              <w:rPr>
                <w:webHidden/>
                <w:rStyle w:val="IndexLink"/>
                <w:rtl w:val="true"/>
              </w:rPr>
              <w:t>فصل حول التفصيل بين الشكّ في الرافع و المقتضي</w:t>
            </w:r>
            <w:r>
              <w:rPr>
                <w:rStyle w:val="IndexLink"/>
                <w:rtl w:val="true"/>
              </w:rPr>
              <w:tab/>
            </w:r>
            <w:r>
              <w:rPr>
                <w:rStyle w:val="IndexLink"/>
              </w:rPr>
              <w:t>38</w:t>
            </w:r>
          </w:hyperlink>
        </w:p>
        <w:p>
          <w:pPr>
            <w:pStyle w:val="Contents3"/>
            <w:tabs>
              <w:tab w:val="clear" w:pos="8459"/>
              <w:tab w:val="right" w:pos="9026" w:leader="dot"/>
            </w:tabs>
            <w:rPr/>
          </w:pPr>
          <w:hyperlink w:anchor="__RefHeading___Toc1613917_3804643083">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613919_3804643083">
            <w:r>
              <w:rPr>
                <w:webHidden/>
                <w:rStyle w:val="IndexLink"/>
                <w:rtl w:val="true"/>
              </w:rPr>
              <w:t>في ذكر أخبار الاستصحاب</w:t>
            </w:r>
            <w:r>
              <w:rPr>
                <w:rStyle w:val="IndexLink"/>
                <w:rtl w:val="true"/>
              </w:rPr>
              <w:tab/>
            </w:r>
            <w:r>
              <w:rPr>
                <w:rStyle w:val="IndexLink"/>
              </w:rPr>
              <w:t>42</w:t>
            </w:r>
          </w:hyperlink>
        </w:p>
        <w:p>
          <w:pPr>
            <w:pStyle w:val="Contents4"/>
            <w:tabs>
              <w:tab w:val="clear" w:pos="8176"/>
              <w:tab w:val="right" w:pos="9026" w:leader="dot"/>
            </w:tabs>
            <w:rPr/>
          </w:pPr>
          <w:hyperlink w:anchor="__RefHeading___Toc1613921_3804643083">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613923_3804643083">
            <w:r>
              <w:rPr>
                <w:webHidden/>
                <w:rStyle w:val="IndexLink"/>
                <w:rtl w:val="true"/>
              </w:rPr>
              <w:t>[</w:t>
            </w:r>
            <w:r>
              <w:rPr>
                <w:rStyle w:val="IndexLink"/>
                <w:rtl w:val="true"/>
              </w:rPr>
              <w:t>فمنها</w:t>
            </w:r>
            <w:r>
              <w:rPr>
                <w:rStyle w:val="IndexLink"/>
                <w:rtl w:val="true"/>
              </w:rPr>
              <w:t xml:space="preserve">: </w:t>
            </w:r>
            <w:r>
              <w:rPr>
                <w:rStyle w:val="IndexLink"/>
                <w:rtl w:val="true"/>
              </w:rPr>
              <w:t>صحيحة الاولى لزرارة</w:t>
            </w:r>
            <w:r>
              <w:rPr>
                <w:rStyle w:val="IndexLink"/>
                <w:rtl w:val="true"/>
              </w:rPr>
              <w:t>]</w:t>
              <w:tab/>
            </w:r>
            <w:r>
              <w:rPr>
                <w:rStyle w:val="IndexLink"/>
              </w:rPr>
              <w:t>42</w:t>
            </w:r>
          </w:hyperlink>
        </w:p>
        <w:p>
          <w:pPr>
            <w:pStyle w:val="Contents5"/>
            <w:tabs>
              <w:tab w:val="clear" w:pos="7892"/>
              <w:tab w:val="right" w:pos="9026" w:leader="dot"/>
            </w:tabs>
            <w:rPr/>
          </w:pPr>
          <w:hyperlink w:anchor="__RefHeading___Toc1613925_3804643083">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613927_3804643083">
            <w:r>
              <w:rPr>
                <w:webHidden/>
                <w:rStyle w:val="IndexLink"/>
                <w:rtl w:val="true"/>
              </w:rPr>
              <w:t>تقريبات الأعلام في اختصاص حجّيّة الاستصحاب بالشكّ في الرافع</w:t>
            </w:r>
            <w:r>
              <w:rPr>
                <w:rStyle w:val="IndexLink"/>
                <w:rtl w:val="true"/>
              </w:rPr>
              <w:tab/>
            </w:r>
            <w:r>
              <w:rPr>
                <w:rStyle w:val="IndexLink"/>
              </w:rPr>
              <w:t>51</w:t>
            </w:r>
          </w:hyperlink>
        </w:p>
        <w:p>
          <w:pPr>
            <w:pStyle w:val="Contents5"/>
            <w:tabs>
              <w:tab w:val="clear" w:pos="7892"/>
              <w:tab w:val="right" w:pos="9026" w:leader="dot"/>
            </w:tabs>
            <w:rPr/>
          </w:pPr>
          <w:hyperlink w:anchor="__RefHeading___Toc1613929_3804643083">
            <w:r>
              <w:rPr>
                <w:webHidden/>
                <w:rStyle w:val="IndexLink"/>
                <w:rtl w:val="true"/>
              </w:rPr>
              <w:t>تحقيق الحقّ في الشكّ في الرافع و المقتضي</w:t>
            </w:r>
            <w:r>
              <w:rPr>
                <w:rStyle w:val="IndexLink"/>
                <w:rtl w:val="true"/>
              </w:rPr>
              <w:tab/>
            </w:r>
            <w:r>
              <w:rPr>
                <w:rStyle w:val="IndexLink"/>
              </w:rPr>
              <w:t>54</w:t>
            </w:r>
          </w:hyperlink>
        </w:p>
        <w:p>
          <w:pPr>
            <w:pStyle w:val="Contents5"/>
            <w:tabs>
              <w:tab w:val="clear" w:pos="7892"/>
              <w:tab w:val="right" w:pos="9026" w:leader="dot"/>
            </w:tabs>
            <w:rPr/>
          </w:pPr>
          <w:hyperlink w:anchor="__RefHeading___Toc1613931_3804643083">
            <w:r>
              <w:rPr>
                <w:webHidden/>
                <w:rStyle w:val="IndexLink"/>
                <w:rtl w:val="true"/>
              </w:rPr>
              <w:t>بيان جواب تقريب المولى الهمدانيّ رحمه اللَّه</w:t>
            </w:r>
            <w:r>
              <w:rPr>
                <w:rStyle w:val="IndexLink"/>
                <w:rtl w:val="true"/>
              </w:rPr>
              <w:tab/>
            </w:r>
            <w:r>
              <w:rPr>
                <w:rStyle w:val="IndexLink"/>
              </w:rPr>
              <w:t>56</w:t>
            </w:r>
          </w:hyperlink>
        </w:p>
        <w:p>
          <w:pPr>
            <w:pStyle w:val="Contents5"/>
            <w:tabs>
              <w:tab w:val="clear" w:pos="7892"/>
              <w:tab w:val="right" w:pos="9026" w:leader="dot"/>
            </w:tabs>
            <w:rPr/>
          </w:pPr>
          <w:hyperlink w:anchor="__RefHeading___Toc1613933_3804643083">
            <w:r>
              <w:rPr>
                <w:webHidden/>
                <w:rStyle w:val="IndexLink"/>
                <w:rtl w:val="true"/>
              </w:rPr>
              <w:t>تقريب آخر لشمول الأدلّة للشكّ في المُقتضي</w:t>
            </w:r>
            <w:r>
              <w:rPr>
                <w:rStyle w:val="IndexLink"/>
                <w:rtl w:val="true"/>
              </w:rPr>
              <w:tab/>
            </w:r>
            <w:r>
              <w:rPr>
                <w:rStyle w:val="IndexLink"/>
              </w:rPr>
              <w:t>58</w:t>
            </w:r>
          </w:hyperlink>
        </w:p>
        <w:p>
          <w:pPr>
            <w:pStyle w:val="Contents5"/>
            <w:tabs>
              <w:tab w:val="clear" w:pos="7892"/>
              <w:tab w:val="right" w:pos="9026" w:leader="dot"/>
            </w:tabs>
            <w:rPr/>
          </w:pPr>
          <w:hyperlink w:anchor="__RefHeading___Toc1613935_3804643083">
            <w:r>
              <w:rPr>
                <w:webHidden/>
                <w:rStyle w:val="IndexLink"/>
                <w:rtl w:val="true"/>
              </w:rPr>
              <w:t>تأييد اختصاصه بالشكّ في الرافع و الجواب عنه</w:t>
            </w:r>
            <w:r>
              <w:rPr>
                <w:rStyle w:val="IndexLink"/>
                <w:rtl w:val="true"/>
              </w:rPr>
              <w:tab/>
            </w:r>
            <w:r>
              <w:rPr>
                <w:rStyle w:val="IndexLink"/>
              </w:rPr>
              <w:t>59</w:t>
            </w:r>
          </w:hyperlink>
        </w:p>
        <w:p>
          <w:pPr>
            <w:pStyle w:val="Contents4"/>
            <w:tabs>
              <w:tab w:val="clear" w:pos="8176"/>
              <w:tab w:val="right" w:pos="9026" w:leader="dot"/>
            </w:tabs>
            <w:rPr/>
          </w:pPr>
          <w:hyperlink w:anchor="__RefHeading___Toc1613937_3804643083">
            <w:r>
              <w:rPr>
                <w:webHidden/>
                <w:rStyle w:val="IndexLink"/>
                <w:rtl w:val="true"/>
              </w:rPr>
              <w:t>[</w:t>
            </w:r>
            <w:r>
              <w:rPr>
                <w:rStyle w:val="IndexLink"/>
                <w:rtl w:val="true"/>
              </w:rPr>
              <w:t>فمنها</w:t>
            </w:r>
            <w:r>
              <w:rPr>
                <w:rStyle w:val="IndexLink"/>
                <w:rtl w:val="true"/>
              </w:rPr>
              <w:t xml:space="preserve">: </w:t>
            </w:r>
            <w:r>
              <w:rPr>
                <w:rStyle w:val="IndexLink"/>
                <w:rtl w:val="true"/>
              </w:rPr>
              <w:t>صحيحة الثانية لزرارة</w:t>
            </w:r>
            <w:r>
              <w:rPr>
                <w:rStyle w:val="IndexLink"/>
                <w:rtl w:val="true"/>
              </w:rPr>
              <w:t>]</w:t>
              <w:tab/>
            </w:r>
            <w:r>
              <w:rPr>
                <w:rStyle w:val="IndexLink"/>
              </w:rPr>
              <w:t>62</w:t>
            </w:r>
          </w:hyperlink>
        </w:p>
        <w:p>
          <w:pPr>
            <w:pStyle w:val="Contents5"/>
            <w:tabs>
              <w:tab w:val="clear" w:pos="7892"/>
              <w:tab w:val="right" w:pos="9026" w:leader="dot"/>
            </w:tabs>
            <w:rPr/>
          </w:pPr>
          <w:hyperlink w:anchor="__RefHeading___Toc1613939_3804643083">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613941_3804643083">
            <w:r>
              <w:rPr>
                <w:webHidden/>
                <w:rStyle w:val="IndexLink"/>
                <w:rtl w:val="true"/>
              </w:rPr>
              <w:t>مورد الاستدلال بالرواية و احتمالاته</w:t>
            </w:r>
            <w:r>
              <w:rPr>
                <w:rStyle w:val="IndexLink"/>
                <w:rtl w:val="true"/>
              </w:rPr>
              <w:tab/>
            </w:r>
            <w:r>
              <w:rPr>
                <w:rStyle w:val="IndexLink"/>
              </w:rPr>
              <w:t>63</w:t>
            </w:r>
          </w:hyperlink>
        </w:p>
        <w:p>
          <w:pPr>
            <w:pStyle w:val="Contents5"/>
            <w:tabs>
              <w:tab w:val="clear" w:pos="7892"/>
              <w:tab w:val="right" w:pos="9026" w:leader="dot"/>
            </w:tabs>
            <w:rPr/>
          </w:pPr>
          <w:hyperlink w:anchor="__RefHeading___Toc1613943_3804643083">
            <w:r>
              <w:rPr>
                <w:webHidden/>
                <w:rStyle w:val="IndexLink"/>
                <w:rtl w:val="true"/>
              </w:rPr>
              <w:t>الإشكال على أقوى الاحتمالات و الجواب عنه</w:t>
            </w:r>
            <w:r>
              <w:rPr>
                <w:rStyle w:val="IndexLink"/>
                <w:rtl w:val="true"/>
              </w:rPr>
              <w:tab/>
            </w:r>
            <w:r>
              <w:rPr>
                <w:rStyle w:val="IndexLink"/>
              </w:rPr>
              <w:t>65</w:t>
            </w:r>
          </w:hyperlink>
        </w:p>
        <w:p>
          <w:pPr>
            <w:pStyle w:val="Contents5"/>
            <w:tabs>
              <w:tab w:val="clear" w:pos="7892"/>
              <w:tab w:val="right" w:pos="9026" w:leader="dot"/>
            </w:tabs>
            <w:rPr/>
          </w:pPr>
          <w:hyperlink w:anchor="__RefHeading___Toc1613945_3804643083">
            <w:r>
              <w:rPr>
                <w:webHidden/>
                <w:rStyle w:val="IndexLink"/>
                <w:rtl w:val="true"/>
              </w:rPr>
              <w:t>إشكال آخر على الاحتمال المتصوّر</w:t>
            </w:r>
            <w:r>
              <w:rPr>
                <w:rStyle w:val="IndexLink"/>
                <w:rtl w:val="true"/>
              </w:rPr>
              <w:tab/>
            </w:r>
            <w:r>
              <w:rPr>
                <w:rStyle w:val="IndexLink"/>
              </w:rPr>
              <w:t>67</w:t>
            </w:r>
          </w:hyperlink>
        </w:p>
        <w:p>
          <w:pPr>
            <w:pStyle w:val="Contents5"/>
            <w:tabs>
              <w:tab w:val="clear" w:pos="7892"/>
              <w:tab w:val="right" w:pos="9026" w:leader="dot"/>
            </w:tabs>
            <w:rPr/>
          </w:pPr>
          <w:hyperlink w:anchor="__RefHeading___Toc1613947_3804643083">
            <w:r>
              <w:rPr>
                <w:webHidden/>
                <w:rStyle w:val="IndexLink"/>
                <w:rtl w:val="true"/>
              </w:rPr>
              <w:t>دفع الإشكال</w:t>
            </w:r>
            <w:r>
              <w:rPr>
                <w:rStyle w:val="IndexLink"/>
                <w:rtl w:val="true"/>
              </w:rPr>
              <w:tab/>
            </w:r>
            <w:r>
              <w:rPr>
                <w:rStyle w:val="IndexLink"/>
              </w:rPr>
              <w:t>69</w:t>
            </w:r>
          </w:hyperlink>
        </w:p>
        <w:p>
          <w:pPr>
            <w:pStyle w:val="Contents4"/>
            <w:tabs>
              <w:tab w:val="clear" w:pos="8176"/>
              <w:tab w:val="right" w:pos="9026" w:leader="dot"/>
            </w:tabs>
            <w:rPr/>
          </w:pPr>
          <w:hyperlink w:anchor="__RefHeading___Toc1613949_3804643083">
            <w:r>
              <w:rPr>
                <w:webHidden/>
                <w:rStyle w:val="IndexLink"/>
                <w:rtl w:val="true"/>
              </w:rPr>
              <w:t>فمنها</w:t>
            </w:r>
            <w:r>
              <w:rPr>
                <w:rStyle w:val="IndexLink"/>
                <w:rtl w:val="true"/>
              </w:rPr>
              <w:t xml:space="preserve">: </w:t>
            </w:r>
            <w:r>
              <w:rPr>
                <w:rStyle w:val="IndexLink"/>
                <w:rtl w:val="true"/>
              </w:rPr>
              <w:t>صحيحة الثالثة لزرارة</w:t>
            </w:r>
            <w:r>
              <w:rPr>
                <w:rStyle w:val="IndexLink"/>
                <w:rtl w:val="true"/>
              </w:rPr>
              <w:tab/>
            </w:r>
            <w:r>
              <w:rPr>
                <w:rStyle w:val="IndexLink"/>
              </w:rPr>
              <w:t>71</w:t>
            </w:r>
          </w:hyperlink>
        </w:p>
        <w:p>
          <w:pPr>
            <w:pStyle w:val="Contents5"/>
            <w:tabs>
              <w:tab w:val="clear" w:pos="7892"/>
              <w:tab w:val="right" w:pos="9026" w:leader="dot"/>
            </w:tabs>
            <w:rPr/>
          </w:pPr>
          <w:hyperlink w:anchor="__RefHeading___Toc1613951_3804643083">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613953_3804643083">
            <w:r>
              <w:rPr>
                <w:webHidden/>
                <w:rStyle w:val="IndexLink"/>
                <w:rtl w:val="true"/>
              </w:rPr>
              <w:t>بيان احتمالات الرواية</w:t>
            </w:r>
            <w:r>
              <w:rPr>
                <w:rStyle w:val="IndexLink"/>
                <w:rtl w:val="true"/>
              </w:rPr>
              <w:tab/>
            </w:r>
            <w:r>
              <w:rPr>
                <w:rStyle w:val="IndexLink"/>
              </w:rPr>
              <w:t>73</w:t>
            </w:r>
          </w:hyperlink>
        </w:p>
        <w:p>
          <w:pPr>
            <w:pStyle w:val="Contents5"/>
            <w:tabs>
              <w:tab w:val="clear" w:pos="7892"/>
              <w:tab w:val="right" w:pos="9026" w:leader="dot"/>
            </w:tabs>
            <w:rPr/>
          </w:pPr>
          <w:hyperlink w:anchor="__RefHeading___Toc1613955_3804643083">
            <w:r>
              <w:rPr>
                <w:webHidden/>
                <w:rStyle w:val="IndexLink"/>
                <w:rtl w:val="true"/>
              </w:rPr>
              <w:t>بيان أظهر الاحتمالات في الرواية</w:t>
            </w:r>
            <w:r>
              <w:rPr>
                <w:rStyle w:val="IndexLink"/>
                <w:rtl w:val="true"/>
              </w:rPr>
              <w:tab/>
            </w:r>
            <w:r>
              <w:rPr>
                <w:rStyle w:val="IndexLink"/>
              </w:rPr>
              <w:t>77</w:t>
            </w:r>
          </w:hyperlink>
        </w:p>
        <w:p>
          <w:pPr>
            <w:pStyle w:val="Contents4"/>
            <w:tabs>
              <w:tab w:val="clear" w:pos="8176"/>
              <w:tab w:val="right" w:pos="9026" w:leader="dot"/>
            </w:tabs>
            <w:rPr/>
          </w:pPr>
          <w:hyperlink w:anchor="__RefHeading___Toc1613957_3804643083">
            <w:r>
              <w:rPr>
                <w:webHidden/>
                <w:rStyle w:val="IndexLink"/>
                <w:rtl w:val="true"/>
              </w:rPr>
              <w:t>و منها</w:t>
            </w:r>
            <w:r>
              <w:rPr>
                <w:rStyle w:val="IndexLink"/>
                <w:rtl w:val="true"/>
              </w:rPr>
              <w:t xml:space="preserve">: </w:t>
            </w:r>
            <w:r>
              <w:rPr>
                <w:rStyle w:val="IndexLink"/>
                <w:rtl w:val="true"/>
              </w:rPr>
              <w:t>موثّقة إسحاق بن عمّار</w:t>
            </w:r>
            <w:r>
              <w:rPr>
                <w:rStyle w:val="IndexLink"/>
                <w:rtl w:val="true"/>
              </w:rPr>
              <w:tab/>
            </w:r>
            <w:r>
              <w:rPr>
                <w:rStyle w:val="IndexLink"/>
              </w:rPr>
              <w:t>79</w:t>
            </w:r>
          </w:hyperlink>
        </w:p>
        <w:p>
          <w:pPr>
            <w:pStyle w:val="Contents4"/>
            <w:tabs>
              <w:tab w:val="clear" w:pos="8176"/>
              <w:tab w:val="right" w:pos="9026" w:leader="dot"/>
            </w:tabs>
            <w:rPr/>
          </w:pPr>
          <w:hyperlink w:anchor="__RefHeading___Toc1613959_3804643083">
            <w:r>
              <w:rPr>
                <w:webHidden/>
                <w:rStyle w:val="IndexLink"/>
                <w:rtl w:val="true"/>
              </w:rPr>
              <w:t>[</w:t>
            </w:r>
            <w:r>
              <w:rPr>
                <w:rStyle w:val="IndexLink"/>
                <w:rtl w:val="true"/>
              </w:rPr>
              <w:t>فمنها</w:t>
            </w:r>
            <w:r>
              <w:rPr>
                <w:rStyle w:val="IndexLink"/>
                <w:rtl w:val="true"/>
              </w:rPr>
              <w:t xml:space="preserve">: </w:t>
            </w:r>
            <w:r>
              <w:rPr>
                <w:rStyle w:val="IndexLink"/>
                <w:rtl w:val="true"/>
              </w:rPr>
              <w:t>رواية محمّد بن مسلم</w:t>
            </w:r>
            <w:r>
              <w:rPr>
                <w:rStyle w:val="IndexLink"/>
                <w:rtl w:val="true"/>
              </w:rPr>
              <w:tab/>
            </w:r>
            <w:r>
              <w:rPr>
                <w:rStyle w:val="IndexLink"/>
              </w:rPr>
              <w:t>80</w:t>
            </w:r>
          </w:hyperlink>
        </w:p>
        <w:p>
          <w:pPr>
            <w:pStyle w:val="Contents4"/>
            <w:tabs>
              <w:tab w:val="clear" w:pos="8176"/>
              <w:tab w:val="right" w:pos="9026" w:leader="dot"/>
            </w:tabs>
            <w:rPr/>
          </w:pPr>
          <w:hyperlink w:anchor="__RefHeading___Toc1613961_3804643083">
            <w:r>
              <w:rPr>
                <w:webHidden/>
                <w:rStyle w:val="IndexLink"/>
                <w:rtl w:val="true"/>
              </w:rPr>
              <w:t>و منها</w:t>
            </w:r>
            <w:r>
              <w:rPr>
                <w:rStyle w:val="IndexLink"/>
                <w:rtl w:val="true"/>
              </w:rPr>
              <w:t xml:space="preserve">: </w:t>
            </w:r>
            <w:r>
              <w:rPr>
                <w:rStyle w:val="IndexLink"/>
                <w:rtl w:val="true"/>
              </w:rPr>
              <w:t>مكاتبة عليّ بن محمّد القاسانيّ</w:t>
            </w:r>
            <w:r>
              <w:rPr>
                <w:rStyle w:val="IndexLink"/>
                <w:rtl w:val="true"/>
              </w:rPr>
              <w:tab/>
            </w:r>
            <w:r>
              <w:rPr>
                <w:rStyle w:val="IndexLink"/>
              </w:rPr>
              <w:t>81</w:t>
            </w:r>
          </w:hyperlink>
        </w:p>
        <w:p>
          <w:pPr>
            <w:pStyle w:val="Contents3"/>
            <w:tabs>
              <w:tab w:val="clear" w:pos="8459"/>
              <w:tab w:val="right" w:pos="9026" w:leader="dot"/>
            </w:tabs>
            <w:rPr/>
          </w:pPr>
          <w:hyperlink w:anchor="__RefHeading___Toc1613963_3804643083">
            <w:r>
              <w:rPr>
                <w:webHidden/>
                <w:rStyle w:val="IndexLink"/>
                <w:rtl w:val="true"/>
              </w:rPr>
              <w:t>تذييل حول الاستدلال بأدلّة قاعدتي الحلّية و الطهارة على الاستصحاب و الجواب عنه</w:t>
            </w:r>
            <w:r>
              <w:rPr>
                <w:rStyle w:val="IndexLink"/>
                <w:rtl w:val="true"/>
              </w:rPr>
              <w:tab/>
            </w:r>
            <w:r>
              <w:rPr>
                <w:rStyle w:val="IndexLink"/>
              </w:rPr>
              <w:t>83</w:t>
            </w:r>
          </w:hyperlink>
        </w:p>
        <w:p>
          <w:pPr>
            <w:pStyle w:val="Contents2"/>
            <w:tabs>
              <w:tab w:val="clear" w:pos="8743"/>
              <w:tab w:val="right" w:pos="9026" w:leader="dot"/>
            </w:tabs>
            <w:rPr/>
          </w:pPr>
          <w:hyperlink w:anchor="__RefHeading___Toc1613965_3804643083">
            <w:r>
              <w:rPr>
                <w:webHidden/>
                <w:rStyle w:val="IndexLink"/>
                <w:rtl w:val="true"/>
              </w:rPr>
              <w:t>فصل الأحكام الوضعيّة و تحقيق ماهيّتها</w:t>
            </w:r>
            <w:r>
              <w:rPr>
                <w:rStyle w:val="IndexLink"/>
                <w:rtl w:val="true"/>
              </w:rPr>
              <w:tab/>
            </w:r>
            <w:r>
              <w:rPr>
                <w:rStyle w:val="IndexLink"/>
              </w:rPr>
              <w:t>87</w:t>
            </w:r>
          </w:hyperlink>
        </w:p>
        <w:p>
          <w:pPr>
            <w:pStyle w:val="Contents3"/>
            <w:tabs>
              <w:tab w:val="clear" w:pos="8459"/>
              <w:tab w:val="right" w:pos="9026" w:leader="dot"/>
            </w:tabs>
            <w:rPr/>
          </w:pPr>
          <w:hyperlink w:anchor="__RefHeading___Toc1613967_3804643083">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1613969_3804643083">
            <w:r>
              <w:rPr>
                <w:webHidden/>
                <w:rStyle w:val="IndexLink"/>
                <w:rtl w:val="true"/>
              </w:rPr>
              <w:t>الأمر الأوّل تقسيم الحكم إلى تكليفي و وضعي</w:t>
            </w:r>
            <w:r>
              <w:rPr>
                <w:rStyle w:val="IndexLink"/>
                <w:rtl w:val="true"/>
              </w:rPr>
              <w:tab/>
            </w:r>
            <w:r>
              <w:rPr>
                <w:rStyle w:val="IndexLink"/>
              </w:rPr>
              <w:t>87</w:t>
            </w:r>
          </w:hyperlink>
        </w:p>
        <w:p>
          <w:pPr>
            <w:pStyle w:val="Contents3"/>
            <w:tabs>
              <w:tab w:val="clear" w:pos="8459"/>
              <w:tab w:val="right" w:pos="9026" w:leader="dot"/>
            </w:tabs>
            <w:rPr/>
          </w:pPr>
          <w:hyperlink w:anchor="__RefHeading___Toc1613971_3804643083">
            <w:r>
              <w:rPr>
                <w:webHidden/>
                <w:rStyle w:val="IndexLink"/>
                <w:rtl w:val="true"/>
              </w:rPr>
              <w:t>الأمر الثاني بعض موارد الخلط بين التكوين و التشريع</w:t>
            </w:r>
            <w:r>
              <w:rPr>
                <w:rStyle w:val="IndexLink"/>
                <w:rtl w:val="true"/>
              </w:rPr>
              <w:tab/>
            </w:r>
            <w:r>
              <w:rPr>
                <w:rStyle w:val="IndexLink"/>
              </w:rPr>
              <w:t>90</w:t>
            </w:r>
          </w:hyperlink>
        </w:p>
        <w:p>
          <w:pPr>
            <w:pStyle w:val="Contents4"/>
            <w:tabs>
              <w:tab w:val="clear" w:pos="8176"/>
              <w:tab w:val="right" w:pos="9026" w:leader="dot"/>
            </w:tabs>
            <w:rPr/>
          </w:pPr>
          <w:hyperlink w:anchor="__RefHeading___Toc1613973_3804643083">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613975_3804643083">
            <w:r>
              <w:rPr>
                <w:webHidden/>
                <w:rStyle w:val="IndexLink"/>
                <w:rtl w:val="true"/>
              </w:rPr>
              <w:t>توهّم عدم قبول السببيّة للجعل و دفعه</w:t>
            </w:r>
            <w:r>
              <w:rPr>
                <w:rStyle w:val="IndexLink"/>
                <w:rtl w:val="true"/>
              </w:rPr>
              <w:tab/>
            </w:r>
            <w:r>
              <w:rPr>
                <w:rStyle w:val="IndexLink"/>
              </w:rPr>
              <w:t>92</w:t>
            </w:r>
          </w:hyperlink>
        </w:p>
        <w:p>
          <w:pPr>
            <w:pStyle w:val="Contents3"/>
            <w:tabs>
              <w:tab w:val="clear" w:pos="8459"/>
              <w:tab w:val="right" w:pos="9026" w:leader="dot"/>
            </w:tabs>
            <w:rPr/>
          </w:pPr>
          <w:hyperlink w:anchor="__RefHeading___Toc1613977_3804643083">
            <w:r>
              <w:rPr>
                <w:webHidden/>
                <w:rStyle w:val="IndexLink"/>
                <w:rtl w:val="true"/>
              </w:rPr>
              <w:t>الأمر الثالث إنَّ الملكيّة ليست من المقولات حقيقة</w:t>
            </w:r>
            <w:r>
              <w:rPr>
                <w:rStyle w:val="IndexLink"/>
                <w:rtl w:val="true"/>
              </w:rPr>
              <w:tab/>
            </w:r>
            <w:r>
              <w:rPr>
                <w:rStyle w:val="IndexLink"/>
              </w:rPr>
              <w:t>94</w:t>
            </w:r>
          </w:hyperlink>
        </w:p>
        <w:p>
          <w:pPr>
            <w:pStyle w:val="Contents4"/>
            <w:tabs>
              <w:tab w:val="clear" w:pos="8176"/>
              <w:tab w:val="right" w:pos="9026" w:leader="dot"/>
            </w:tabs>
            <w:rPr/>
          </w:pPr>
          <w:hyperlink w:anchor="__RefHeading___Toc1613979_3804643083">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613981_3804643083">
            <w:r>
              <w:rPr>
                <w:webHidden/>
                <w:rStyle w:val="IndexLink"/>
                <w:rtl w:val="true"/>
              </w:rPr>
              <w:t>أقسام الوضعيّات</w:t>
            </w:r>
            <w:r>
              <w:rPr>
                <w:rStyle w:val="IndexLink"/>
                <w:rtl w:val="true"/>
              </w:rPr>
              <w:tab/>
            </w:r>
            <w:r>
              <w:rPr>
                <w:rStyle w:val="IndexLink"/>
              </w:rPr>
              <w:t>95</w:t>
            </w:r>
          </w:hyperlink>
        </w:p>
        <w:p>
          <w:pPr>
            <w:pStyle w:val="Contents2"/>
            <w:tabs>
              <w:tab w:val="clear" w:pos="8743"/>
              <w:tab w:val="right" w:pos="9026" w:leader="dot"/>
            </w:tabs>
            <w:rPr/>
          </w:pPr>
          <w:hyperlink w:anchor="__RefHeading___Toc1613983_3804643083">
            <w:r>
              <w:rPr>
                <w:webHidden/>
                <w:rStyle w:val="IndexLink"/>
                <w:rtl w:val="true"/>
              </w:rPr>
              <w:t>تنبيهات</w:t>
            </w:r>
            <w:r>
              <w:rPr>
                <w:rStyle w:val="IndexLink"/>
                <w:rtl w:val="true"/>
              </w:rPr>
              <w:tab/>
            </w:r>
            <w:r>
              <w:rPr>
                <w:rStyle w:val="IndexLink"/>
              </w:rPr>
              <w:t>98</w:t>
            </w:r>
          </w:hyperlink>
        </w:p>
        <w:p>
          <w:pPr>
            <w:pStyle w:val="Contents3"/>
            <w:tabs>
              <w:tab w:val="clear" w:pos="8459"/>
              <w:tab w:val="right" w:pos="9026" w:leader="dot"/>
            </w:tabs>
            <w:rPr/>
          </w:pPr>
          <w:hyperlink w:anchor="__RefHeading___Toc1613985_3804643083">
            <w:r>
              <w:rPr>
                <w:webHidden/>
                <w:rStyle w:val="IndexLink"/>
                <w:rtl w:val="true"/>
              </w:rPr>
              <w:t>التنبيه الأوّل في اعتبار فعلية اليقين و الشك في الاستصحاب و أخذهما في موضوعه على نعت الموضوعيّة</w:t>
            </w:r>
            <w:r>
              <w:rPr>
                <w:rStyle w:val="IndexLink"/>
                <w:rtl w:val="true"/>
              </w:rPr>
              <w:tab/>
            </w:r>
            <w:r>
              <w:rPr>
                <w:rStyle w:val="IndexLink"/>
              </w:rPr>
              <w:t>98</w:t>
            </w:r>
          </w:hyperlink>
        </w:p>
        <w:p>
          <w:pPr>
            <w:pStyle w:val="Contents4"/>
            <w:tabs>
              <w:tab w:val="clear" w:pos="8176"/>
              <w:tab w:val="right" w:pos="9026" w:leader="dot"/>
            </w:tabs>
            <w:rPr/>
          </w:pPr>
          <w:hyperlink w:anchor="__RefHeading___Toc1613987_3804643083">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613989_3804643083">
            <w:r>
              <w:rPr>
                <w:webHidden/>
                <w:rStyle w:val="IndexLink"/>
                <w:rtl w:val="true"/>
              </w:rPr>
              <w:t>إشكال جريان الاستصحاب في مؤدّيات الأمارات و جوابه</w:t>
            </w:r>
            <w:r>
              <w:rPr>
                <w:rStyle w:val="IndexLink"/>
                <w:rtl w:val="true"/>
              </w:rPr>
              <w:tab/>
            </w:r>
            <w:r>
              <w:rPr>
                <w:rStyle w:val="IndexLink"/>
              </w:rPr>
              <w:t>102</w:t>
            </w:r>
          </w:hyperlink>
        </w:p>
        <w:p>
          <w:pPr>
            <w:pStyle w:val="Contents3"/>
            <w:tabs>
              <w:tab w:val="clear" w:pos="8459"/>
              <w:tab w:val="right" w:pos="9026" w:leader="dot"/>
            </w:tabs>
            <w:rPr/>
          </w:pPr>
          <w:hyperlink w:anchor="__RefHeading___Toc1613991_3804643083">
            <w:r>
              <w:rPr>
                <w:webHidden/>
                <w:rStyle w:val="IndexLink"/>
                <w:rtl w:val="true"/>
              </w:rPr>
              <w:t>التنبيه الثاني في أقسام استصحاب الكلّي</w:t>
            </w:r>
            <w:r>
              <w:rPr>
                <w:rStyle w:val="IndexLink"/>
                <w:rtl w:val="true"/>
              </w:rPr>
              <w:tab/>
            </w:r>
            <w:r>
              <w:rPr>
                <w:rStyle w:val="IndexLink"/>
              </w:rPr>
              <w:t>104</w:t>
            </w:r>
          </w:hyperlink>
        </w:p>
        <w:p>
          <w:pPr>
            <w:pStyle w:val="Contents4"/>
            <w:tabs>
              <w:tab w:val="clear" w:pos="8176"/>
              <w:tab w:val="right" w:pos="9026" w:leader="dot"/>
            </w:tabs>
            <w:rPr/>
          </w:pPr>
          <w:hyperlink w:anchor="__RefHeading___Toc1613993_3804643083">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1613995_3804643083">
            <w:r>
              <w:rPr>
                <w:webHidden/>
                <w:rStyle w:val="IndexLink"/>
                <w:rtl w:val="true"/>
              </w:rPr>
              <w:t>القسم الأوّل من استصحاب الكليّ</w:t>
            </w:r>
            <w:r>
              <w:rPr>
                <w:rStyle w:val="IndexLink"/>
                <w:rtl w:val="true"/>
              </w:rPr>
              <w:tab/>
            </w:r>
            <w:r>
              <w:rPr>
                <w:rStyle w:val="IndexLink"/>
              </w:rPr>
              <w:t>105</w:t>
            </w:r>
          </w:hyperlink>
        </w:p>
        <w:p>
          <w:pPr>
            <w:pStyle w:val="Contents4"/>
            <w:tabs>
              <w:tab w:val="clear" w:pos="8176"/>
              <w:tab w:val="right" w:pos="9026" w:leader="dot"/>
            </w:tabs>
            <w:rPr/>
          </w:pPr>
          <w:hyperlink w:anchor="__RefHeading___Toc1613997_3804643083">
            <w:r>
              <w:rPr>
                <w:webHidden/>
                <w:rStyle w:val="IndexLink"/>
                <w:rtl w:val="true"/>
              </w:rPr>
              <w:t>القسم الثاني من استصحاب الكلّي</w:t>
            </w:r>
            <w:r>
              <w:rPr>
                <w:rStyle w:val="IndexLink"/>
                <w:rtl w:val="true"/>
              </w:rPr>
              <w:tab/>
            </w:r>
            <w:r>
              <w:rPr>
                <w:rStyle w:val="IndexLink"/>
              </w:rPr>
              <w:t>105</w:t>
            </w:r>
          </w:hyperlink>
        </w:p>
        <w:p>
          <w:pPr>
            <w:pStyle w:val="Contents5"/>
            <w:tabs>
              <w:tab w:val="clear" w:pos="7892"/>
              <w:tab w:val="right" w:pos="9026" w:leader="dot"/>
            </w:tabs>
            <w:rPr/>
          </w:pPr>
          <w:hyperlink w:anchor="__RefHeading___Toc1613999_3804643083">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614001_3804643083">
            <w:r>
              <w:rPr>
                <w:webHidden/>
                <w:rStyle w:val="IndexLink"/>
                <w:rtl w:val="true"/>
              </w:rPr>
              <w:t>الجواب عن الشبهة العبائيّة</w:t>
            </w:r>
            <w:r>
              <w:rPr>
                <w:rStyle w:val="IndexLink"/>
                <w:rtl w:val="true"/>
              </w:rPr>
              <w:tab/>
            </w:r>
            <w:r>
              <w:rPr>
                <w:rStyle w:val="IndexLink"/>
              </w:rPr>
              <w:t>108</w:t>
            </w:r>
          </w:hyperlink>
        </w:p>
        <w:p>
          <w:pPr>
            <w:pStyle w:val="Contents4"/>
            <w:tabs>
              <w:tab w:val="clear" w:pos="8176"/>
              <w:tab w:val="right" w:pos="9026" w:leader="dot"/>
            </w:tabs>
            <w:rPr/>
          </w:pPr>
          <w:hyperlink w:anchor="__RefHeading___Toc1614003_3804643083">
            <w:r>
              <w:rPr>
                <w:webHidden/>
                <w:rStyle w:val="IndexLink"/>
                <w:rtl w:val="true"/>
              </w:rPr>
              <w:t>القسم الثالث من استصحاب الكلّي</w:t>
            </w:r>
            <w:r>
              <w:rPr>
                <w:rStyle w:val="IndexLink"/>
                <w:rtl w:val="true"/>
              </w:rPr>
              <w:tab/>
            </w:r>
            <w:r>
              <w:rPr>
                <w:rStyle w:val="IndexLink"/>
              </w:rPr>
              <w:t>112</w:t>
            </w:r>
          </w:hyperlink>
        </w:p>
        <w:p>
          <w:pPr>
            <w:pStyle w:val="Contents4"/>
            <w:tabs>
              <w:tab w:val="clear" w:pos="8176"/>
              <w:tab w:val="right" w:pos="9026" w:leader="dot"/>
            </w:tabs>
            <w:rPr/>
          </w:pPr>
          <w:hyperlink w:anchor="__RefHeading___Toc1614005_3804643083">
            <w:r>
              <w:rPr>
                <w:webHidden/>
                <w:rStyle w:val="IndexLink"/>
                <w:rtl w:val="true"/>
              </w:rPr>
              <w:t>تذييل حول أصالة عدم التذكية</w:t>
            </w:r>
            <w:r>
              <w:rPr>
                <w:rStyle w:val="IndexLink"/>
                <w:rtl w:val="true"/>
              </w:rPr>
              <w:tab/>
            </w:r>
            <w:r>
              <w:rPr>
                <w:rStyle w:val="IndexLink"/>
              </w:rPr>
              <w:t>116</w:t>
            </w:r>
          </w:hyperlink>
        </w:p>
        <w:p>
          <w:pPr>
            <w:pStyle w:val="Contents5"/>
            <w:tabs>
              <w:tab w:val="clear" w:pos="7892"/>
              <w:tab w:val="right" w:pos="9026" w:leader="dot"/>
            </w:tabs>
            <w:rPr/>
          </w:pPr>
          <w:hyperlink w:anchor="__RefHeading___Toc1614007_3804643083">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614009_3804643083">
            <w:r>
              <w:rPr>
                <w:webHidden/>
                <w:rStyle w:val="IndexLink"/>
                <w:rtl w:val="true"/>
              </w:rPr>
              <w:t>تحقيق القضايا السالبة</w:t>
            </w:r>
            <w:r>
              <w:rPr>
                <w:rStyle w:val="IndexLink"/>
                <w:rtl w:val="true"/>
              </w:rPr>
              <w:tab/>
            </w:r>
            <w:r>
              <w:rPr>
                <w:rStyle w:val="IndexLink"/>
              </w:rPr>
              <w:t>117</w:t>
            </w:r>
          </w:hyperlink>
        </w:p>
        <w:p>
          <w:pPr>
            <w:pStyle w:val="Contents5"/>
            <w:tabs>
              <w:tab w:val="clear" w:pos="7892"/>
              <w:tab w:val="right" w:pos="9026" w:leader="dot"/>
            </w:tabs>
            <w:rPr/>
          </w:pPr>
          <w:hyperlink w:anchor="__RefHeading___Toc1614011_3804643083">
            <w:r>
              <w:rPr>
                <w:webHidden/>
                <w:rStyle w:val="IndexLink"/>
                <w:rtl w:val="true"/>
              </w:rPr>
              <w:t>بيان مناط الصدق و الكذب في القضايا</w:t>
            </w:r>
            <w:r>
              <w:rPr>
                <w:rStyle w:val="IndexLink"/>
                <w:rtl w:val="true"/>
              </w:rPr>
              <w:tab/>
            </w:r>
            <w:r>
              <w:rPr>
                <w:rStyle w:val="IndexLink"/>
              </w:rPr>
              <w:t>122</w:t>
            </w:r>
          </w:hyperlink>
        </w:p>
        <w:p>
          <w:pPr>
            <w:pStyle w:val="Contents5"/>
            <w:tabs>
              <w:tab w:val="clear" w:pos="7892"/>
              <w:tab w:val="right" w:pos="9026" w:leader="dot"/>
            </w:tabs>
            <w:rPr/>
          </w:pPr>
          <w:hyperlink w:anchor="__RefHeading___Toc1614013_3804643083">
            <w:r>
              <w:rPr>
                <w:webHidden/>
                <w:rStyle w:val="IndexLink"/>
                <w:rtl w:val="true"/>
              </w:rPr>
              <w:t>حال أصالة عدم التذكية</w:t>
            </w:r>
            <w:r>
              <w:rPr>
                <w:rStyle w:val="IndexLink"/>
                <w:rtl w:val="true"/>
              </w:rPr>
              <w:tab/>
            </w:r>
            <w:r>
              <w:rPr>
                <w:rStyle w:val="IndexLink"/>
              </w:rPr>
              <w:t>125</w:t>
            </w:r>
          </w:hyperlink>
        </w:p>
        <w:p>
          <w:pPr>
            <w:pStyle w:val="Contents5"/>
            <w:tabs>
              <w:tab w:val="clear" w:pos="7892"/>
              <w:tab w:val="right" w:pos="9026" w:leader="dot"/>
            </w:tabs>
            <w:rPr/>
          </w:pPr>
          <w:hyperlink w:anchor="__RefHeading___Toc1614015_3804643083">
            <w:r>
              <w:rPr>
                <w:webHidden/>
                <w:rStyle w:val="IndexLink"/>
                <w:rtl w:val="true"/>
              </w:rPr>
              <w:t>كلام المولى الهمدانيّ و جوابه</w:t>
            </w:r>
            <w:r>
              <w:rPr>
                <w:rStyle w:val="IndexLink"/>
                <w:rtl w:val="true"/>
              </w:rPr>
              <w:tab/>
            </w:r>
            <w:r>
              <w:rPr>
                <w:rStyle w:val="IndexLink"/>
              </w:rPr>
              <w:t>128</w:t>
            </w:r>
          </w:hyperlink>
        </w:p>
        <w:p>
          <w:pPr>
            <w:pStyle w:val="Contents5"/>
            <w:tabs>
              <w:tab w:val="clear" w:pos="7892"/>
              <w:tab w:val="right" w:pos="9026" w:leader="dot"/>
            </w:tabs>
            <w:rPr/>
          </w:pPr>
          <w:hyperlink w:anchor="__RefHeading___Toc1614017_3804643083">
            <w:r>
              <w:rPr>
                <w:webHidden/>
                <w:rStyle w:val="IndexLink"/>
                <w:rtl w:val="true"/>
              </w:rPr>
              <w:t>حكم الشبهات الموضوعيّة</w:t>
            </w:r>
            <w:r>
              <w:rPr>
                <w:rStyle w:val="IndexLink"/>
                <w:rtl w:val="true"/>
              </w:rPr>
              <w:tab/>
            </w:r>
            <w:r>
              <w:rPr>
                <w:rStyle w:val="IndexLink"/>
              </w:rPr>
              <w:t>131</w:t>
            </w:r>
          </w:hyperlink>
        </w:p>
        <w:p>
          <w:pPr>
            <w:pStyle w:val="Contents3"/>
            <w:tabs>
              <w:tab w:val="clear" w:pos="8459"/>
              <w:tab w:val="right" w:pos="9026" w:leader="dot"/>
            </w:tabs>
            <w:rPr/>
          </w:pPr>
          <w:hyperlink w:anchor="__RefHeading___Toc1614019_3804643083">
            <w:r>
              <w:rPr>
                <w:webHidden/>
                <w:rStyle w:val="IndexLink"/>
                <w:rtl w:val="true"/>
              </w:rPr>
              <w:t>التنبيه الثالث استصحاب المتصرِّمات</w:t>
            </w:r>
            <w:r>
              <w:rPr>
                <w:rStyle w:val="IndexLink"/>
                <w:rtl w:val="true"/>
              </w:rPr>
              <w:tab/>
            </w:r>
            <w:r>
              <w:rPr>
                <w:rStyle w:val="IndexLink"/>
              </w:rPr>
              <w:t>133</w:t>
            </w:r>
          </w:hyperlink>
        </w:p>
        <w:p>
          <w:pPr>
            <w:pStyle w:val="Contents4"/>
            <w:tabs>
              <w:tab w:val="clear" w:pos="8176"/>
              <w:tab w:val="right" w:pos="9026" w:leader="dot"/>
            </w:tabs>
            <w:rPr/>
          </w:pPr>
          <w:hyperlink w:anchor="__RefHeading___Toc1614021_3804643083">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614023_3804643083">
            <w:r>
              <w:rPr>
                <w:webHidden/>
                <w:rStyle w:val="IndexLink"/>
                <w:rtl w:val="true"/>
              </w:rPr>
              <w:t>تحقيق المقام</w:t>
            </w:r>
            <w:r>
              <w:rPr>
                <w:rStyle w:val="IndexLink"/>
                <w:rtl w:val="true"/>
              </w:rPr>
              <w:tab/>
            </w:r>
            <w:r>
              <w:rPr>
                <w:rStyle w:val="IndexLink"/>
              </w:rPr>
              <w:t>134</w:t>
            </w:r>
          </w:hyperlink>
        </w:p>
        <w:p>
          <w:pPr>
            <w:pStyle w:val="Contents4"/>
            <w:tabs>
              <w:tab w:val="clear" w:pos="8176"/>
              <w:tab w:val="right" w:pos="9026" w:leader="dot"/>
            </w:tabs>
            <w:rPr/>
          </w:pPr>
          <w:hyperlink w:anchor="__RefHeading___Toc1614025_3804643083">
            <w:r>
              <w:rPr>
                <w:webHidden/>
                <w:rStyle w:val="IndexLink"/>
                <w:rtl w:val="true"/>
              </w:rPr>
              <w:t>استصحاب الزمانيّات</w:t>
            </w:r>
            <w:r>
              <w:rPr>
                <w:rStyle w:val="IndexLink"/>
                <w:rtl w:val="true"/>
              </w:rPr>
              <w:tab/>
            </w:r>
            <w:r>
              <w:rPr>
                <w:rStyle w:val="IndexLink"/>
              </w:rPr>
              <w:t>139</w:t>
            </w:r>
          </w:hyperlink>
        </w:p>
        <w:p>
          <w:pPr>
            <w:pStyle w:val="Contents4"/>
            <w:tabs>
              <w:tab w:val="clear" w:pos="8176"/>
              <w:tab w:val="right" w:pos="9026" w:leader="dot"/>
            </w:tabs>
            <w:rPr/>
          </w:pPr>
          <w:hyperlink w:anchor="__RefHeading___Toc1614027_3804643083">
            <w:r>
              <w:rPr>
                <w:webHidden/>
                <w:rStyle w:val="IndexLink"/>
                <w:rtl w:val="true"/>
              </w:rPr>
              <w:t>شبهة النراقيّ</w:t>
            </w:r>
            <w:r>
              <w:rPr>
                <w:rStyle w:val="IndexLink"/>
                <w:rtl w:val="true"/>
              </w:rPr>
              <w:tab/>
            </w:r>
            <w:r>
              <w:rPr>
                <w:rStyle w:val="IndexLink"/>
              </w:rPr>
              <w:t>142</w:t>
            </w:r>
          </w:hyperlink>
        </w:p>
        <w:p>
          <w:pPr>
            <w:pStyle w:val="Contents4"/>
            <w:tabs>
              <w:tab w:val="clear" w:pos="8176"/>
              <w:tab w:val="right" w:pos="9026" w:leader="dot"/>
            </w:tabs>
            <w:rPr/>
          </w:pPr>
          <w:hyperlink w:anchor="__RefHeading___Toc1614029_3804643083">
            <w:r>
              <w:rPr>
                <w:webHidden/>
                <w:rStyle w:val="IndexLink"/>
                <w:rtl w:val="true"/>
              </w:rPr>
              <w:t>جواب الشيخ عن الشبهة و ما فيه</w:t>
            </w:r>
            <w:r>
              <w:rPr>
                <w:rStyle w:val="IndexLink"/>
                <w:rtl w:val="true"/>
              </w:rPr>
              <w:tab/>
            </w:r>
            <w:r>
              <w:rPr>
                <w:rStyle w:val="IndexLink"/>
              </w:rPr>
              <w:t>143</w:t>
            </w:r>
          </w:hyperlink>
        </w:p>
        <w:p>
          <w:pPr>
            <w:pStyle w:val="Contents4"/>
            <w:tabs>
              <w:tab w:val="clear" w:pos="8176"/>
              <w:tab w:val="right" w:pos="9026" w:leader="dot"/>
            </w:tabs>
            <w:rPr/>
          </w:pPr>
          <w:hyperlink w:anchor="__RefHeading___Toc1614031_3804643083">
            <w:r>
              <w:rPr>
                <w:webHidden/>
                <w:rStyle w:val="IndexLink"/>
                <w:rtl w:val="true"/>
              </w:rPr>
              <w:t>جواب المُحقّق الخراسانيّ و ردّه</w:t>
            </w:r>
            <w:r>
              <w:rPr>
                <w:rStyle w:val="IndexLink"/>
                <w:rtl w:val="true"/>
              </w:rPr>
              <w:tab/>
            </w:r>
            <w:r>
              <w:rPr>
                <w:rStyle w:val="IndexLink"/>
              </w:rPr>
              <w:t>145</w:t>
            </w:r>
          </w:hyperlink>
        </w:p>
        <w:p>
          <w:pPr>
            <w:pStyle w:val="Contents4"/>
            <w:tabs>
              <w:tab w:val="clear" w:pos="8176"/>
              <w:tab w:val="right" w:pos="9026" w:leader="dot"/>
            </w:tabs>
            <w:rPr/>
          </w:pPr>
          <w:hyperlink w:anchor="__RefHeading___Toc1614033_3804643083">
            <w:r>
              <w:rPr>
                <w:webHidden/>
                <w:rStyle w:val="IndexLink"/>
                <w:rtl w:val="true"/>
              </w:rPr>
              <w:t>جواب المحقّق النائينيّ و الإشكال عليه</w:t>
            </w:r>
            <w:r>
              <w:rPr>
                <w:rStyle w:val="IndexLink"/>
                <w:rtl w:val="true"/>
              </w:rPr>
              <w:tab/>
            </w:r>
            <w:r>
              <w:rPr>
                <w:rStyle w:val="IndexLink"/>
              </w:rPr>
              <w:t>146</w:t>
            </w:r>
          </w:hyperlink>
        </w:p>
        <w:p>
          <w:pPr>
            <w:pStyle w:val="Contents4"/>
            <w:tabs>
              <w:tab w:val="clear" w:pos="8176"/>
              <w:tab w:val="right" w:pos="9026" w:leader="dot"/>
            </w:tabs>
            <w:rPr/>
          </w:pPr>
          <w:hyperlink w:anchor="__RefHeading___Toc1614035_3804643083">
            <w:r>
              <w:rPr>
                <w:webHidden/>
                <w:rStyle w:val="IndexLink"/>
                <w:rtl w:val="true"/>
              </w:rPr>
              <w:t>جواب شيخنا العلّامة و ما فيه</w:t>
            </w:r>
            <w:r>
              <w:rPr>
                <w:rStyle w:val="IndexLink"/>
                <w:rtl w:val="true"/>
              </w:rPr>
              <w:tab/>
            </w:r>
            <w:r>
              <w:rPr>
                <w:rStyle w:val="IndexLink"/>
              </w:rPr>
              <w:t>149</w:t>
            </w:r>
          </w:hyperlink>
        </w:p>
        <w:p>
          <w:pPr>
            <w:pStyle w:val="Contents4"/>
            <w:tabs>
              <w:tab w:val="clear" w:pos="8176"/>
              <w:tab w:val="right" w:pos="9026" w:leader="dot"/>
            </w:tabs>
            <w:rPr/>
          </w:pPr>
          <w:hyperlink w:anchor="__RefHeading___Toc1614037_3804643083">
            <w:r>
              <w:rPr>
                <w:webHidden/>
                <w:rStyle w:val="IndexLink"/>
                <w:rtl w:val="true"/>
              </w:rPr>
              <w:t>الجواب عن الشبهة</w:t>
            </w:r>
            <w:r>
              <w:rPr>
                <w:rStyle w:val="IndexLink"/>
                <w:rtl w:val="true"/>
              </w:rPr>
              <w:tab/>
            </w:r>
            <w:r>
              <w:rPr>
                <w:rStyle w:val="IndexLink"/>
              </w:rPr>
              <w:t>151</w:t>
            </w:r>
          </w:hyperlink>
        </w:p>
        <w:p>
          <w:pPr>
            <w:pStyle w:val="Contents3"/>
            <w:tabs>
              <w:tab w:val="clear" w:pos="8459"/>
              <w:tab w:val="right" w:pos="9026" w:leader="dot"/>
            </w:tabs>
            <w:rPr/>
          </w:pPr>
          <w:hyperlink w:anchor="__RefHeading___Toc1614039_3804643083">
            <w:r>
              <w:rPr>
                <w:webHidden/>
                <w:rStyle w:val="IndexLink"/>
                <w:rtl w:val="true"/>
              </w:rPr>
              <w:t>التنبيه الرابع الاستصحاب التعليقيّ</w:t>
            </w:r>
            <w:r>
              <w:rPr>
                <w:rStyle w:val="IndexLink"/>
                <w:rtl w:val="true"/>
              </w:rPr>
              <w:tab/>
            </w:r>
            <w:r>
              <w:rPr>
                <w:rStyle w:val="IndexLink"/>
              </w:rPr>
              <w:t>152</w:t>
            </w:r>
          </w:hyperlink>
        </w:p>
        <w:p>
          <w:pPr>
            <w:pStyle w:val="Contents4"/>
            <w:tabs>
              <w:tab w:val="clear" w:pos="8176"/>
              <w:tab w:val="right" w:pos="9026" w:leader="dot"/>
            </w:tabs>
            <w:rPr/>
          </w:pPr>
          <w:hyperlink w:anchor="__RefHeading___Toc1614041_3804643083">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614043_3804643083">
            <w:r>
              <w:rPr>
                <w:webHidden/>
                <w:rStyle w:val="IndexLink"/>
                <w:rtl w:val="true"/>
              </w:rPr>
              <w:t>كلام بعض الأعاظم و ما فيه</w:t>
            </w:r>
            <w:r>
              <w:rPr>
                <w:rStyle w:val="IndexLink"/>
                <w:rtl w:val="true"/>
              </w:rPr>
              <w:tab/>
            </w:r>
            <w:r>
              <w:rPr>
                <w:rStyle w:val="IndexLink"/>
              </w:rPr>
              <w:t>156</w:t>
            </w:r>
          </w:hyperlink>
        </w:p>
        <w:p>
          <w:pPr>
            <w:pStyle w:val="Contents4"/>
            <w:tabs>
              <w:tab w:val="clear" w:pos="8176"/>
              <w:tab w:val="right" w:pos="9026" w:leader="dot"/>
            </w:tabs>
            <w:rPr/>
          </w:pPr>
          <w:hyperlink w:anchor="__RefHeading___Toc1614045_3804643083">
            <w:r>
              <w:rPr>
                <w:webHidden/>
                <w:rStyle w:val="IndexLink"/>
                <w:rtl w:val="true"/>
              </w:rPr>
              <w:t>تذنيب حال معارضة الاستصحاب التعليقيّ مع التنجيزيّ</w:t>
            </w:r>
            <w:r>
              <w:rPr>
                <w:rStyle w:val="IndexLink"/>
                <w:rtl w:val="true"/>
              </w:rPr>
              <w:tab/>
            </w:r>
            <w:r>
              <w:rPr>
                <w:rStyle w:val="IndexLink"/>
              </w:rPr>
              <w:t>160</w:t>
            </w:r>
          </w:hyperlink>
        </w:p>
        <w:p>
          <w:pPr>
            <w:pStyle w:val="Contents4"/>
            <w:tabs>
              <w:tab w:val="clear" w:pos="8176"/>
              <w:tab w:val="right" w:pos="9026" w:leader="dot"/>
            </w:tabs>
            <w:rPr/>
          </w:pPr>
          <w:hyperlink w:anchor="__RefHeading___Toc1614047_3804643083">
            <w:r>
              <w:rPr>
                <w:webHidden/>
                <w:rStyle w:val="IndexLink"/>
                <w:rtl w:val="true"/>
              </w:rPr>
              <w:t>حكومة الاستصحاب التعليقيّ على التنجيزيّ</w:t>
            </w:r>
            <w:r>
              <w:rPr>
                <w:rStyle w:val="IndexLink"/>
                <w:rtl w:val="true"/>
              </w:rPr>
              <w:tab/>
            </w:r>
            <w:r>
              <w:rPr>
                <w:rStyle w:val="IndexLink"/>
              </w:rPr>
              <w:t>164</w:t>
            </w:r>
          </w:hyperlink>
        </w:p>
        <w:p>
          <w:pPr>
            <w:pStyle w:val="Contents3"/>
            <w:tabs>
              <w:tab w:val="clear" w:pos="8459"/>
              <w:tab w:val="right" w:pos="9026" w:leader="dot"/>
            </w:tabs>
            <w:rPr/>
          </w:pPr>
          <w:hyperlink w:anchor="__RefHeading___Toc1614049_3804643083">
            <w:r>
              <w:rPr>
                <w:webHidden/>
                <w:rStyle w:val="IndexLink"/>
                <w:rtl w:val="true"/>
              </w:rPr>
              <w:t>التنبيه الخامس استصحاب أحكام سائر الشرائع</w:t>
            </w:r>
            <w:r>
              <w:rPr>
                <w:rStyle w:val="IndexLink"/>
                <w:rtl w:val="true"/>
              </w:rPr>
              <w:tab/>
            </w:r>
            <w:r>
              <w:rPr>
                <w:rStyle w:val="IndexLink"/>
              </w:rPr>
              <w:t>167</w:t>
            </w:r>
          </w:hyperlink>
        </w:p>
        <w:p>
          <w:pPr>
            <w:pStyle w:val="Contents3"/>
            <w:tabs>
              <w:tab w:val="clear" w:pos="8459"/>
              <w:tab w:val="right" w:pos="9026" w:leader="dot"/>
            </w:tabs>
            <w:rPr/>
          </w:pPr>
          <w:hyperlink w:anchor="__RefHeading___Toc1614051_3804643083">
            <w:r>
              <w:rPr>
                <w:webHidden/>
                <w:rStyle w:val="IndexLink"/>
                <w:rtl w:val="true"/>
              </w:rPr>
              <w:t>التنبيه السادس في الاصول المُثبتة</w:t>
            </w:r>
            <w:r>
              <w:rPr>
                <w:rStyle w:val="IndexLink"/>
                <w:rtl w:val="true"/>
              </w:rPr>
              <w:tab/>
            </w:r>
            <w:r>
              <w:rPr>
                <w:rStyle w:val="IndexLink"/>
              </w:rPr>
              <w:t>170</w:t>
            </w:r>
          </w:hyperlink>
        </w:p>
        <w:p>
          <w:pPr>
            <w:pStyle w:val="Contents4"/>
            <w:tabs>
              <w:tab w:val="clear" w:pos="8176"/>
              <w:tab w:val="right" w:pos="9026" w:leader="dot"/>
            </w:tabs>
            <w:rPr/>
          </w:pPr>
          <w:hyperlink w:anchor="__RefHeading___Toc1614053_3804643083">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614055_3804643083">
            <w:r>
              <w:rPr>
                <w:webHidden/>
                <w:rStyle w:val="IndexLink"/>
                <w:rtl w:val="true"/>
              </w:rPr>
              <w:t>حال مُثبتات الاصول</w:t>
            </w:r>
            <w:r>
              <w:rPr>
                <w:rStyle w:val="IndexLink"/>
                <w:rtl w:val="true"/>
              </w:rPr>
              <w:tab/>
            </w:r>
            <w:r>
              <w:rPr>
                <w:rStyle w:val="IndexLink"/>
              </w:rPr>
              <w:t>173</w:t>
            </w:r>
          </w:hyperlink>
        </w:p>
        <w:p>
          <w:pPr>
            <w:pStyle w:val="Contents4"/>
            <w:tabs>
              <w:tab w:val="clear" w:pos="8176"/>
              <w:tab w:val="right" w:pos="9026" w:leader="dot"/>
            </w:tabs>
            <w:rPr/>
          </w:pPr>
          <w:hyperlink w:anchor="__RefHeading___Toc1614057_3804643083">
            <w:r>
              <w:rPr>
                <w:webHidden/>
                <w:rStyle w:val="IndexLink"/>
                <w:rtl w:val="true"/>
              </w:rPr>
              <w:t>بيان الفرق بين الآثار الشرعيّة و غيرها</w:t>
            </w:r>
            <w:r>
              <w:rPr>
                <w:rStyle w:val="IndexLink"/>
                <w:rtl w:val="true"/>
              </w:rPr>
              <w:tab/>
            </w:r>
            <w:r>
              <w:rPr>
                <w:rStyle w:val="IndexLink"/>
              </w:rPr>
              <w:t>177</w:t>
            </w:r>
          </w:hyperlink>
        </w:p>
        <w:p>
          <w:pPr>
            <w:pStyle w:val="Contents4"/>
            <w:tabs>
              <w:tab w:val="clear" w:pos="8176"/>
              <w:tab w:val="right" w:pos="9026" w:leader="dot"/>
            </w:tabs>
            <w:rPr/>
          </w:pPr>
          <w:hyperlink w:anchor="__RefHeading___Toc1614059_3804643083">
            <w:r>
              <w:rPr>
                <w:webHidden/>
                <w:rStyle w:val="IndexLink"/>
                <w:rtl w:val="true"/>
              </w:rPr>
              <w:t>تتميم حول الوسائط الخفيّة</w:t>
            </w:r>
            <w:r>
              <w:rPr>
                <w:rStyle w:val="IndexLink"/>
                <w:rtl w:val="true"/>
              </w:rPr>
              <w:tab/>
            </w:r>
            <w:r>
              <w:rPr>
                <w:rStyle w:val="IndexLink"/>
              </w:rPr>
              <w:t>179</w:t>
            </w:r>
          </w:hyperlink>
        </w:p>
        <w:p>
          <w:pPr>
            <w:pStyle w:val="Contents4"/>
            <w:tabs>
              <w:tab w:val="clear" w:pos="8176"/>
              <w:tab w:val="right" w:pos="9026" w:leader="dot"/>
            </w:tabs>
            <w:rPr/>
          </w:pPr>
          <w:hyperlink w:anchor="__RefHeading___Toc1614061_3804643083">
            <w:r>
              <w:rPr>
                <w:webHidden/>
                <w:rStyle w:val="IndexLink"/>
                <w:rtl w:val="true"/>
              </w:rPr>
              <w:t>حال الأمثلة التي ذكرها الشيخ</w:t>
            </w:r>
            <w:r>
              <w:rPr>
                <w:rStyle w:val="IndexLink"/>
                <w:rtl w:val="true"/>
              </w:rPr>
              <w:tab/>
            </w:r>
            <w:r>
              <w:rPr>
                <w:rStyle w:val="IndexLink"/>
              </w:rPr>
              <w:t>181</w:t>
            </w:r>
          </w:hyperlink>
        </w:p>
        <w:p>
          <w:pPr>
            <w:pStyle w:val="Contents4"/>
            <w:tabs>
              <w:tab w:val="clear" w:pos="8176"/>
              <w:tab w:val="right" w:pos="9026" w:leader="dot"/>
            </w:tabs>
            <w:rPr/>
          </w:pPr>
          <w:hyperlink w:anchor="__RefHeading___Toc1614063_3804643083">
            <w:r>
              <w:rPr>
                <w:webHidden/>
                <w:rStyle w:val="IndexLink"/>
                <w:rtl w:val="true"/>
              </w:rPr>
              <w:t>تذييل و يذكر فيه امور</w:t>
            </w:r>
            <w:r>
              <w:rPr>
                <w:rStyle w:val="IndexLink"/>
                <w:rtl w:val="true"/>
              </w:rPr>
              <w:tab/>
            </w:r>
            <w:r>
              <w:rPr>
                <w:rStyle w:val="IndexLink"/>
              </w:rPr>
              <w:t>184</w:t>
            </w:r>
          </w:hyperlink>
        </w:p>
        <w:p>
          <w:pPr>
            <w:pStyle w:val="Contents5"/>
            <w:tabs>
              <w:tab w:val="clear" w:pos="7892"/>
              <w:tab w:val="right" w:pos="9026" w:leader="dot"/>
            </w:tabs>
            <w:rPr/>
          </w:pPr>
          <w:hyperlink w:anchor="__RefHeading___Toc1614065_3804643083">
            <w:r>
              <w:rPr>
                <w:webHidden/>
                <w:rStyle w:val="IndexLink"/>
                <w:rtl w:val="true"/>
              </w:rPr>
              <w:t>الأمر الأوّل إنَّ استصحاب العنوان المنطبق على الخارج ليس بمُثبت</w:t>
            </w:r>
            <w:r>
              <w:rPr>
                <w:rStyle w:val="IndexLink"/>
                <w:rtl w:val="true"/>
              </w:rPr>
              <w:tab/>
            </w:r>
            <w:r>
              <w:rPr>
                <w:rStyle w:val="IndexLink"/>
              </w:rPr>
              <w:t>184</w:t>
            </w:r>
          </w:hyperlink>
        </w:p>
        <w:p>
          <w:pPr>
            <w:pStyle w:val="Contents5"/>
            <w:tabs>
              <w:tab w:val="clear" w:pos="7892"/>
              <w:tab w:val="right" w:pos="9026" w:leader="dot"/>
            </w:tabs>
            <w:rPr/>
          </w:pPr>
          <w:hyperlink w:anchor="__RefHeading___Toc1614067_3804643083">
            <w:r>
              <w:rPr>
                <w:webHidden/>
                <w:rStyle w:val="IndexLink"/>
                <w:rtl w:val="true"/>
              </w:rPr>
              <w:t>الأمر الثاني استصحاب الأحكام الوضعيّة</w:t>
            </w:r>
            <w:r>
              <w:rPr>
                <w:rStyle w:val="IndexLink"/>
                <w:rtl w:val="true"/>
              </w:rPr>
              <w:tab/>
            </w:r>
            <w:r>
              <w:rPr>
                <w:rStyle w:val="IndexLink"/>
              </w:rPr>
              <w:t>186</w:t>
            </w:r>
          </w:hyperlink>
        </w:p>
        <w:p>
          <w:pPr>
            <w:pStyle w:val="Contents5"/>
            <w:tabs>
              <w:tab w:val="clear" w:pos="7892"/>
              <w:tab w:val="right" w:pos="9026" w:leader="dot"/>
            </w:tabs>
            <w:rPr/>
          </w:pPr>
          <w:hyperlink w:anchor="__RefHeading___Toc1614069_3804643083">
            <w:r>
              <w:rPr>
                <w:webHidden/>
                <w:rStyle w:val="IndexLink"/>
                <w:rtl w:val="true"/>
              </w:rPr>
              <w:t>الأمر الثالث جريان الأصل بلحاظ الأثر العدميّ</w:t>
            </w:r>
            <w:r>
              <w:rPr>
                <w:rStyle w:val="IndexLink"/>
                <w:rtl w:val="true"/>
              </w:rPr>
              <w:tab/>
            </w:r>
            <w:r>
              <w:rPr>
                <w:rStyle w:val="IndexLink"/>
              </w:rPr>
              <w:t>189</w:t>
            </w:r>
          </w:hyperlink>
        </w:p>
        <w:p>
          <w:pPr>
            <w:pStyle w:val="Contents5"/>
            <w:tabs>
              <w:tab w:val="clear" w:pos="7892"/>
              <w:tab w:val="right" w:pos="9026" w:leader="dot"/>
            </w:tabs>
            <w:rPr/>
          </w:pPr>
          <w:hyperlink w:anchor="__RefHeading___Toc1614071_3804643083">
            <w:r>
              <w:rPr>
                <w:webHidden/>
                <w:rStyle w:val="IndexLink"/>
                <w:rtl w:val="true"/>
              </w:rPr>
              <w:t>الأمر الرابع أثر الحكم الأعمّ من الواقعي و الظاهري</w:t>
            </w:r>
            <w:r>
              <w:rPr>
                <w:rStyle w:val="IndexLink"/>
                <w:rtl w:val="true"/>
              </w:rPr>
              <w:tab/>
            </w:r>
            <w:r>
              <w:rPr>
                <w:rStyle w:val="IndexLink"/>
              </w:rPr>
              <w:t>190</w:t>
            </w:r>
          </w:hyperlink>
        </w:p>
        <w:p>
          <w:pPr>
            <w:pStyle w:val="Contents3"/>
            <w:tabs>
              <w:tab w:val="clear" w:pos="8459"/>
              <w:tab w:val="right" w:pos="9026" w:leader="dot"/>
            </w:tabs>
            <w:rPr/>
          </w:pPr>
          <w:hyperlink w:anchor="__RefHeading___Toc1614073_3804643083">
            <w:r>
              <w:rPr>
                <w:webHidden/>
                <w:rStyle w:val="IndexLink"/>
                <w:rtl w:val="true"/>
              </w:rPr>
              <w:t>التنبيه السابع في مجهولي التاريخ</w:t>
            </w:r>
            <w:r>
              <w:rPr>
                <w:rStyle w:val="IndexLink"/>
                <w:rtl w:val="true"/>
              </w:rPr>
              <w:tab/>
            </w:r>
            <w:r>
              <w:rPr>
                <w:rStyle w:val="IndexLink"/>
              </w:rPr>
              <w:t>191</w:t>
            </w:r>
          </w:hyperlink>
        </w:p>
        <w:p>
          <w:pPr>
            <w:pStyle w:val="Contents4"/>
            <w:tabs>
              <w:tab w:val="clear" w:pos="8176"/>
              <w:tab w:val="right" w:pos="9026" w:leader="dot"/>
            </w:tabs>
            <w:rPr/>
          </w:pPr>
          <w:hyperlink w:anchor="__RefHeading___Toc1614075_3804643083">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614077_3804643083">
            <w:r>
              <w:rPr>
                <w:webHidden/>
                <w:rStyle w:val="IndexLink"/>
                <w:rtl w:val="true"/>
              </w:rPr>
              <w:t>ضابط اتصال زمان الشكّ باليقين</w:t>
            </w:r>
            <w:r>
              <w:rPr>
                <w:rStyle w:val="IndexLink"/>
                <w:rtl w:val="true"/>
              </w:rPr>
              <w:tab/>
            </w:r>
            <w:r>
              <w:rPr>
                <w:rStyle w:val="IndexLink"/>
              </w:rPr>
              <w:t>193</w:t>
            </w:r>
          </w:hyperlink>
        </w:p>
        <w:p>
          <w:pPr>
            <w:pStyle w:val="Contents4"/>
            <w:tabs>
              <w:tab w:val="clear" w:pos="8176"/>
              <w:tab w:val="right" w:pos="9026" w:leader="dot"/>
            </w:tabs>
            <w:rPr/>
          </w:pPr>
          <w:hyperlink w:anchor="__RefHeading___Toc1614079_3804643083">
            <w:r>
              <w:rPr>
                <w:webHidden/>
                <w:rStyle w:val="IndexLink"/>
                <w:rtl w:val="true"/>
              </w:rPr>
              <w:t>إشكال المحقّق الخراسانيّ في مجهولي التأريخ و جوابه</w:t>
            </w:r>
            <w:r>
              <w:rPr>
                <w:rStyle w:val="IndexLink"/>
                <w:rtl w:val="true"/>
              </w:rPr>
              <w:tab/>
            </w:r>
            <w:r>
              <w:rPr>
                <w:rStyle w:val="IndexLink"/>
              </w:rPr>
              <w:t>197</w:t>
            </w:r>
          </w:hyperlink>
        </w:p>
        <w:p>
          <w:pPr>
            <w:pStyle w:val="Contents4"/>
            <w:tabs>
              <w:tab w:val="clear" w:pos="8176"/>
              <w:tab w:val="right" w:pos="9026" w:leader="dot"/>
            </w:tabs>
            <w:rPr/>
          </w:pPr>
          <w:hyperlink w:anchor="__RefHeading___Toc1614081_3804643083">
            <w:r>
              <w:rPr>
                <w:webHidden/>
                <w:rStyle w:val="IndexLink"/>
                <w:rtl w:val="true"/>
              </w:rPr>
              <w:t>تقرير إشكال شيخنا العلّامة في مجهولي التأريخ و جوابه</w:t>
            </w:r>
            <w:r>
              <w:rPr>
                <w:rStyle w:val="IndexLink"/>
                <w:rtl w:val="true"/>
              </w:rPr>
              <w:tab/>
            </w:r>
            <w:r>
              <w:rPr>
                <w:rStyle w:val="IndexLink"/>
              </w:rPr>
              <w:t>198</w:t>
            </w:r>
          </w:hyperlink>
        </w:p>
        <w:p>
          <w:pPr>
            <w:pStyle w:val="Contents4"/>
            <w:tabs>
              <w:tab w:val="clear" w:pos="8176"/>
              <w:tab w:val="right" w:pos="9026" w:leader="dot"/>
            </w:tabs>
            <w:rPr/>
          </w:pPr>
          <w:hyperlink w:anchor="__RefHeading___Toc1614083_3804643083">
            <w:r>
              <w:rPr>
                <w:webHidden/>
                <w:rStyle w:val="IndexLink"/>
                <w:rtl w:val="true"/>
              </w:rPr>
              <w:t>تكميل فروض ترتّب الأثر على وجود الحادثين</w:t>
            </w:r>
            <w:r>
              <w:rPr>
                <w:rStyle w:val="IndexLink"/>
                <w:rtl w:val="true"/>
              </w:rPr>
              <w:tab/>
            </w:r>
            <w:r>
              <w:rPr>
                <w:rStyle w:val="IndexLink"/>
              </w:rPr>
              <w:t>201</w:t>
            </w:r>
          </w:hyperlink>
        </w:p>
        <w:p>
          <w:pPr>
            <w:pStyle w:val="Contents4"/>
            <w:tabs>
              <w:tab w:val="clear" w:pos="8176"/>
              <w:tab w:val="right" w:pos="9026" w:leader="dot"/>
            </w:tabs>
            <w:rPr/>
          </w:pPr>
          <w:hyperlink w:anchor="__RefHeading___Toc1614085_3804643083">
            <w:r>
              <w:rPr>
                <w:webHidden/>
                <w:rStyle w:val="IndexLink"/>
                <w:rtl w:val="true"/>
              </w:rPr>
              <w:t>تحقيق الحال في المقام</w:t>
            </w:r>
            <w:r>
              <w:rPr>
                <w:rStyle w:val="IndexLink"/>
                <w:rtl w:val="true"/>
              </w:rPr>
              <w:tab/>
            </w:r>
            <w:r>
              <w:rPr>
                <w:rStyle w:val="IndexLink"/>
              </w:rPr>
              <w:t>203</w:t>
            </w:r>
          </w:hyperlink>
        </w:p>
        <w:p>
          <w:pPr>
            <w:pStyle w:val="Contents4"/>
            <w:tabs>
              <w:tab w:val="clear" w:pos="8176"/>
              <w:tab w:val="right" w:pos="9026" w:leader="dot"/>
            </w:tabs>
            <w:rPr/>
          </w:pPr>
          <w:hyperlink w:anchor="__RefHeading___Toc1614087_3804643083">
            <w:r>
              <w:rPr>
                <w:webHidden/>
                <w:rStyle w:val="IndexLink"/>
                <w:rtl w:val="true"/>
              </w:rPr>
              <w:t>فيما إذا كان أحدهما معلوم التأريخ</w:t>
            </w:r>
            <w:r>
              <w:rPr>
                <w:rStyle w:val="IndexLink"/>
                <w:rtl w:val="true"/>
              </w:rPr>
              <w:tab/>
            </w:r>
            <w:r>
              <w:rPr>
                <w:rStyle w:val="IndexLink"/>
              </w:rPr>
              <w:t>206</w:t>
            </w:r>
          </w:hyperlink>
        </w:p>
        <w:p>
          <w:pPr>
            <w:pStyle w:val="Contents4"/>
            <w:tabs>
              <w:tab w:val="clear" w:pos="8176"/>
              <w:tab w:val="right" w:pos="9026" w:leader="dot"/>
            </w:tabs>
            <w:rPr/>
          </w:pPr>
          <w:hyperlink w:anchor="__RefHeading___Toc1614089_3804643083">
            <w:r>
              <w:rPr>
                <w:webHidden/>
                <w:rStyle w:val="IndexLink"/>
                <w:rtl w:val="true"/>
              </w:rPr>
              <w:t>حول كلام بعض العلماء و ما فيه</w:t>
            </w:r>
            <w:r>
              <w:rPr>
                <w:rStyle w:val="IndexLink"/>
                <w:rtl w:val="true"/>
              </w:rPr>
              <w:tab/>
            </w:r>
            <w:r>
              <w:rPr>
                <w:rStyle w:val="IndexLink"/>
              </w:rPr>
              <w:t>208</w:t>
            </w:r>
          </w:hyperlink>
        </w:p>
        <w:p>
          <w:pPr>
            <w:pStyle w:val="Contents3"/>
            <w:tabs>
              <w:tab w:val="clear" w:pos="8459"/>
              <w:tab w:val="right" w:pos="9026" w:leader="dot"/>
            </w:tabs>
            <w:rPr/>
          </w:pPr>
          <w:hyperlink w:anchor="__RefHeading___Toc1614091_3804643083">
            <w:r>
              <w:rPr>
                <w:webHidden/>
                <w:rStyle w:val="IndexLink"/>
                <w:rtl w:val="true"/>
              </w:rPr>
              <w:t>التنبيه الثامن في موارد التمسّك بالعموم، و استصحاب حكم المخصّص</w:t>
            </w:r>
            <w:r>
              <w:rPr>
                <w:rStyle w:val="IndexLink"/>
                <w:rtl w:val="true"/>
              </w:rPr>
              <w:tab/>
            </w:r>
            <w:r>
              <w:rPr>
                <w:rStyle w:val="IndexLink"/>
              </w:rPr>
              <w:t>209</w:t>
            </w:r>
          </w:hyperlink>
        </w:p>
        <w:p>
          <w:pPr>
            <w:pStyle w:val="Contents4"/>
            <w:tabs>
              <w:tab w:val="clear" w:pos="8176"/>
              <w:tab w:val="right" w:pos="9026" w:leader="dot"/>
            </w:tabs>
            <w:rPr/>
          </w:pPr>
          <w:hyperlink w:anchor="__RefHeading___Toc1614093_3804643083">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614095_3804643083">
            <w:r>
              <w:rPr>
                <w:webHidden/>
                <w:rStyle w:val="IndexLink"/>
                <w:rtl w:val="true"/>
              </w:rPr>
              <w:t>تقرير التفصيل بين الخروج من الأوّل و الأثناء</w:t>
            </w:r>
            <w:r>
              <w:rPr>
                <w:rStyle w:val="IndexLink"/>
                <w:rtl w:val="true"/>
              </w:rPr>
              <w:tab/>
            </w:r>
            <w:r>
              <w:rPr>
                <w:rStyle w:val="IndexLink"/>
              </w:rPr>
              <w:t>218</w:t>
            </w:r>
          </w:hyperlink>
        </w:p>
        <w:p>
          <w:pPr>
            <w:pStyle w:val="Contents3"/>
            <w:tabs>
              <w:tab w:val="clear" w:pos="8459"/>
              <w:tab w:val="right" w:pos="9026" w:leader="dot"/>
            </w:tabs>
            <w:rPr/>
          </w:pPr>
          <w:hyperlink w:anchor="__RefHeading___Toc1614097_3804643083">
            <w:r>
              <w:rPr>
                <w:webHidden/>
                <w:rStyle w:val="IndexLink"/>
                <w:rtl w:val="true"/>
              </w:rPr>
              <w:t>التنبيه التاسع المُراد من الشكّ في الأدلّة</w:t>
            </w:r>
            <w:r>
              <w:rPr>
                <w:rStyle w:val="IndexLink"/>
                <w:rtl w:val="true"/>
              </w:rPr>
              <w:tab/>
            </w:r>
            <w:r>
              <w:rPr>
                <w:rStyle w:val="IndexLink"/>
              </w:rPr>
              <w:t>221</w:t>
            </w:r>
          </w:hyperlink>
        </w:p>
        <w:p>
          <w:pPr>
            <w:pStyle w:val="Contents2"/>
            <w:tabs>
              <w:tab w:val="clear" w:pos="8743"/>
              <w:tab w:val="right" w:pos="9026" w:leader="dot"/>
            </w:tabs>
            <w:rPr/>
          </w:pPr>
          <w:hyperlink w:anchor="__RefHeading___Toc1614099_3804643083">
            <w:r>
              <w:rPr>
                <w:webHidden/>
                <w:rStyle w:val="IndexLink"/>
                <w:rtl w:val="true"/>
              </w:rPr>
              <w:t>خاتمة</w:t>
            </w:r>
            <w:r>
              <w:rPr>
                <w:rStyle w:val="IndexLink"/>
                <w:rtl w:val="true"/>
              </w:rPr>
              <w:tab/>
            </w:r>
            <w:r>
              <w:rPr>
                <w:rStyle w:val="IndexLink"/>
              </w:rPr>
              <w:t>224</w:t>
            </w:r>
          </w:hyperlink>
        </w:p>
        <w:p>
          <w:pPr>
            <w:pStyle w:val="Contents3"/>
            <w:tabs>
              <w:tab w:val="clear" w:pos="8459"/>
              <w:tab w:val="right" w:pos="9026" w:leader="dot"/>
            </w:tabs>
            <w:rPr/>
          </w:pPr>
          <w:hyperlink w:anchor="__RefHeading___Toc1614101_3804643083">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1614103_3804643083">
            <w:r>
              <w:rPr>
                <w:webHidden/>
                <w:rStyle w:val="IndexLink"/>
                <w:rtl w:val="true"/>
              </w:rPr>
              <w:t>الأمر الأوّل وحدة القضيّة المتيقّنة و المشكوك فيها</w:t>
            </w:r>
            <w:r>
              <w:rPr>
                <w:rStyle w:val="IndexLink"/>
                <w:rtl w:val="true"/>
              </w:rPr>
              <w:tab/>
            </w:r>
            <w:r>
              <w:rPr>
                <w:rStyle w:val="IndexLink"/>
              </w:rPr>
              <w:t>224</w:t>
            </w:r>
          </w:hyperlink>
        </w:p>
        <w:p>
          <w:pPr>
            <w:pStyle w:val="Contents4"/>
            <w:tabs>
              <w:tab w:val="clear" w:pos="8176"/>
              <w:tab w:val="right" w:pos="9026" w:leader="dot"/>
            </w:tabs>
            <w:rPr/>
          </w:pPr>
          <w:hyperlink w:anchor="__RefHeading___Toc1614105_3804643083">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614107_3804643083">
            <w:r>
              <w:rPr>
                <w:webHidden/>
                <w:rStyle w:val="IndexLink"/>
                <w:rtl w:val="true"/>
              </w:rPr>
              <w:t>الإشكال على الشيخ الأعظم في مسألة بقاء الموضوع</w:t>
            </w:r>
            <w:r>
              <w:rPr>
                <w:rStyle w:val="IndexLink"/>
                <w:rtl w:val="true"/>
              </w:rPr>
              <w:tab/>
            </w:r>
            <w:r>
              <w:rPr>
                <w:rStyle w:val="IndexLink"/>
              </w:rPr>
              <w:t>225</w:t>
            </w:r>
          </w:hyperlink>
        </w:p>
        <w:p>
          <w:pPr>
            <w:pStyle w:val="Contents4"/>
            <w:tabs>
              <w:tab w:val="clear" w:pos="8176"/>
              <w:tab w:val="right" w:pos="9026" w:leader="dot"/>
            </w:tabs>
            <w:rPr/>
          </w:pPr>
          <w:hyperlink w:anchor="__RefHeading___Toc1614109_3804643083">
            <w:r>
              <w:rPr>
                <w:webHidden/>
                <w:rStyle w:val="IndexLink"/>
                <w:rtl w:val="true"/>
              </w:rPr>
              <w:t>تمسّك الشيخ الأعظم بالدليل العقليّ لمدّعاه و ما فيه</w:t>
            </w:r>
            <w:r>
              <w:rPr>
                <w:rStyle w:val="IndexLink"/>
                <w:rtl w:val="true"/>
              </w:rPr>
              <w:tab/>
            </w:r>
            <w:r>
              <w:rPr>
                <w:rStyle w:val="IndexLink"/>
              </w:rPr>
              <w:t>227</w:t>
            </w:r>
          </w:hyperlink>
        </w:p>
        <w:p>
          <w:pPr>
            <w:pStyle w:val="Contents4"/>
            <w:tabs>
              <w:tab w:val="clear" w:pos="8176"/>
              <w:tab w:val="right" w:pos="9026" w:leader="dot"/>
            </w:tabs>
            <w:rPr/>
          </w:pPr>
          <w:hyperlink w:anchor="__RefHeading___Toc1614111_3804643083">
            <w:r>
              <w:rPr>
                <w:webHidden/>
                <w:rStyle w:val="IndexLink"/>
                <w:rtl w:val="true"/>
              </w:rPr>
              <w:t>توجيه شيخنا العلّامة كلام الشيخ و ما يرد عليه</w:t>
            </w:r>
            <w:r>
              <w:rPr>
                <w:rStyle w:val="IndexLink"/>
                <w:rtl w:val="true"/>
              </w:rPr>
              <w:tab/>
            </w:r>
            <w:r>
              <w:rPr>
                <w:rStyle w:val="IndexLink"/>
              </w:rPr>
              <w:t>229</w:t>
            </w:r>
          </w:hyperlink>
        </w:p>
        <w:p>
          <w:pPr>
            <w:pStyle w:val="Contents4"/>
            <w:tabs>
              <w:tab w:val="clear" w:pos="8176"/>
              <w:tab w:val="right" w:pos="9026" w:leader="dot"/>
            </w:tabs>
            <w:rPr/>
          </w:pPr>
          <w:hyperlink w:anchor="__RefHeading___Toc1614113_3804643083">
            <w:r>
              <w:rPr>
                <w:webHidden/>
                <w:rStyle w:val="IndexLink"/>
                <w:rtl w:val="true"/>
              </w:rPr>
              <w:t>إنَّ الاستصحاب لا يجدي في إحراز موضوع القضيّة المُستصحبة</w:t>
            </w:r>
            <w:r>
              <w:rPr>
                <w:rStyle w:val="IndexLink"/>
                <w:rtl w:val="true"/>
              </w:rPr>
              <w:tab/>
            </w:r>
            <w:r>
              <w:rPr>
                <w:rStyle w:val="IndexLink"/>
              </w:rPr>
              <w:t>231</w:t>
            </w:r>
          </w:hyperlink>
        </w:p>
        <w:p>
          <w:pPr>
            <w:pStyle w:val="Contents4"/>
            <w:tabs>
              <w:tab w:val="clear" w:pos="8176"/>
              <w:tab w:val="right" w:pos="9026" w:leader="dot"/>
            </w:tabs>
            <w:rPr/>
          </w:pPr>
          <w:hyperlink w:anchor="__RefHeading___Toc1614115_3804643083">
            <w:r>
              <w:rPr>
                <w:webHidden/>
                <w:rStyle w:val="IndexLink"/>
                <w:rtl w:val="true"/>
              </w:rPr>
              <w:t>الخلط الواقع في كلام بعض الأعاظم</w:t>
            </w:r>
            <w:r>
              <w:rPr>
                <w:rStyle w:val="IndexLink"/>
                <w:rtl w:val="true"/>
              </w:rPr>
              <w:tab/>
            </w:r>
            <w:r>
              <w:rPr>
                <w:rStyle w:val="IndexLink"/>
              </w:rPr>
              <w:t>233</w:t>
            </w:r>
          </w:hyperlink>
        </w:p>
        <w:p>
          <w:pPr>
            <w:pStyle w:val="Contents4"/>
            <w:tabs>
              <w:tab w:val="clear" w:pos="8176"/>
              <w:tab w:val="right" w:pos="9026" w:leader="dot"/>
            </w:tabs>
            <w:rPr/>
          </w:pPr>
          <w:hyperlink w:anchor="__RefHeading___Toc1614117_3804643083">
            <w:r>
              <w:rPr>
                <w:webHidden/>
                <w:rStyle w:val="IndexLink"/>
                <w:rtl w:val="true"/>
              </w:rPr>
              <w:t>هل يؤخذ الموضوع من العرف أولا؟</w:t>
            </w:r>
            <w:r>
              <w:rPr>
                <w:rStyle w:val="IndexLink"/>
                <w:rtl w:val="true"/>
              </w:rPr>
              <w:tab/>
            </w:r>
            <w:r>
              <w:rPr>
                <w:rStyle w:val="IndexLink"/>
              </w:rPr>
              <w:t>234</w:t>
            </w:r>
          </w:hyperlink>
        </w:p>
        <w:p>
          <w:pPr>
            <w:pStyle w:val="Contents4"/>
            <w:tabs>
              <w:tab w:val="clear" w:pos="8176"/>
              <w:tab w:val="right" w:pos="9026" w:leader="dot"/>
            </w:tabs>
            <w:rPr/>
          </w:pPr>
          <w:hyperlink w:anchor="__RefHeading___Toc1614119_3804643083">
            <w:r>
              <w:rPr>
                <w:webHidden/>
                <w:rStyle w:val="IndexLink"/>
                <w:rtl w:val="true"/>
              </w:rPr>
              <w:t>كلامُ المحقّق الخراسانيّ و ما يرد عليه</w:t>
            </w:r>
            <w:r>
              <w:rPr>
                <w:rStyle w:val="IndexLink"/>
                <w:rtl w:val="true"/>
              </w:rPr>
              <w:tab/>
            </w:r>
            <w:r>
              <w:rPr>
                <w:rStyle w:val="IndexLink"/>
              </w:rPr>
              <w:t>237</w:t>
            </w:r>
          </w:hyperlink>
        </w:p>
        <w:p>
          <w:pPr>
            <w:pStyle w:val="Contents4"/>
            <w:tabs>
              <w:tab w:val="clear" w:pos="8176"/>
              <w:tab w:val="right" w:pos="9026" w:leader="dot"/>
            </w:tabs>
            <w:rPr/>
          </w:pPr>
          <w:hyperlink w:anchor="__RefHeading___Toc1614121_3804643083">
            <w:r>
              <w:rPr>
                <w:webHidden/>
                <w:rStyle w:val="IndexLink"/>
                <w:rtl w:val="true"/>
              </w:rPr>
              <w:t>المُراد من العُرف ليس العُرف المسامِح</w:t>
            </w:r>
            <w:r>
              <w:rPr>
                <w:rStyle w:val="IndexLink"/>
                <w:rtl w:val="true"/>
              </w:rPr>
              <w:tab/>
            </w:r>
            <w:r>
              <w:rPr>
                <w:rStyle w:val="IndexLink"/>
              </w:rPr>
              <w:t>239</w:t>
            </w:r>
          </w:hyperlink>
        </w:p>
        <w:p>
          <w:pPr>
            <w:pStyle w:val="Contents3"/>
            <w:tabs>
              <w:tab w:val="clear" w:pos="8459"/>
              <w:tab w:val="right" w:pos="9026" w:leader="dot"/>
            </w:tabs>
            <w:rPr/>
          </w:pPr>
          <w:hyperlink w:anchor="__RefHeading___Toc1614123_3804643083">
            <w:r>
              <w:rPr>
                <w:webHidden/>
                <w:rStyle w:val="IndexLink"/>
                <w:rtl w:val="true"/>
              </w:rPr>
              <w:t>الأمر الثاني أنَّ أخبار الباب هل تختصّ بالاستصحاب أو تعمّ غيره؟</w:t>
            </w:r>
            <w:r>
              <w:rPr>
                <w:rStyle w:val="IndexLink"/>
                <w:rtl w:val="true"/>
              </w:rPr>
              <w:tab/>
            </w:r>
            <w:r>
              <w:rPr>
                <w:rStyle w:val="IndexLink"/>
              </w:rPr>
              <w:t>242</w:t>
            </w:r>
          </w:hyperlink>
        </w:p>
        <w:p>
          <w:pPr>
            <w:pStyle w:val="Contents4"/>
            <w:tabs>
              <w:tab w:val="clear" w:pos="8176"/>
              <w:tab w:val="right" w:pos="9026" w:leader="dot"/>
            </w:tabs>
            <w:rPr/>
          </w:pPr>
          <w:hyperlink w:anchor="__RefHeading___Toc1614125_3804643083">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614127_3804643083">
            <w:r>
              <w:rPr>
                <w:webHidden/>
                <w:rStyle w:val="IndexLink"/>
                <w:rtl w:val="true"/>
              </w:rPr>
              <w:t>إشكال الشيخ الأعظم على إمكان الجمع بين القاعدتين</w:t>
            </w:r>
            <w:r>
              <w:rPr>
                <w:rStyle w:val="IndexLink"/>
                <w:rtl w:val="true"/>
              </w:rPr>
              <w:tab/>
            </w:r>
            <w:r>
              <w:rPr>
                <w:rStyle w:val="IndexLink"/>
              </w:rPr>
              <w:t>243</w:t>
            </w:r>
          </w:hyperlink>
        </w:p>
        <w:p>
          <w:pPr>
            <w:pStyle w:val="Contents4"/>
            <w:tabs>
              <w:tab w:val="clear" w:pos="8176"/>
              <w:tab w:val="right" w:pos="9026" w:leader="dot"/>
            </w:tabs>
            <w:rPr/>
          </w:pPr>
          <w:hyperlink w:anchor="__RefHeading___Toc1614129_3804643083">
            <w:r>
              <w:rPr>
                <w:webHidden/>
                <w:rStyle w:val="IndexLink"/>
                <w:rtl w:val="true"/>
              </w:rPr>
              <w:t>تقرير بعض الأجلّة كلام الشيخ و إقامة البرهان عليه</w:t>
            </w:r>
            <w:r>
              <w:rPr>
                <w:rStyle w:val="IndexLink"/>
                <w:rtl w:val="true"/>
              </w:rPr>
              <w:tab/>
            </w:r>
            <w:r>
              <w:rPr>
                <w:rStyle w:val="IndexLink"/>
              </w:rPr>
              <w:t>244</w:t>
            </w:r>
          </w:hyperlink>
        </w:p>
        <w:p>
          <w:pPr>
            <w:pStyle w:val="Contents4"/>
            <w:tabs>
              <w:tab w:val="clear" w:pos="8176"/>
              <w:tab w:val="right" w:pos="9026" w:leader="dot"/>
            </w:tabs>
            <w:rPr/>
          </w:pPr>
          <w:hyperlink w:anchor="__RefHeading___Toc1614131_3804643083">
            <w:r>
              <w:rPr>
                <w:webHidden/>
                <w:rStyle w:val="IndexLink"/>
                <w:rtl w:val="true"/>
              </w:rPr>
              <w:t>الجواب عنهما</w:t>
            </w:r>
            <w:r>
              <w:rPr>
                <w:rStyle w:val="IndexLink"/>
                <w:rtl w:val="true"/>
              </w:rPr>
              <w:tab/>
            </w:r>
            <w:r>
              <w:rPr>
                <w:rStyle w:val="IndexLink"/>
              </w:rPr>
              <w:t>245</w:t>
            </w:r>
          </w:hyperlink>
        </w:p>
        <w:p>
          <w:pPr>
            <w:pStyle w:val="Contents4"/>
            <w:tabs>
              <w:tab w:val="clear" w:pos="8176"/>
              <w:tab w:val="right" w:pos="9026" w:leader="dot"/>
            </w:tabs>
            <w:rPr/>
          </w:pPr>
          <w:hyperlink w:anchor="__RefHeading___Toc1614133_3804643083">
            <w:r>
              <w:rPr>
                <w:webHidden/>
                <w:rStyle w:val="IndexLink"/>
                <w:rtl w:val="true"/>
              </w:rPr>
              <w:t>كلام العلّامة الحائري قدّس سرّه و جوابه</w:t>
            </w:r>
            <w:r>
              <w:rPr>
                <w:rStyle w:val="IndexLink"/>
                <w:rtl w:val="true"/>
              </w:rPr>
              <w:tab/>
            </w:r>
            <w:r>
              <w:rPr>
                <w:rStyle w:val="IndexLink"/>
              </w:rPr>
              <w:t>247</w:t>
            </w:r>
          </w:hyperlink>
        </w:p>
        <w:p>
          <w:pPr>
            <w:pStyle w:val="Contents3"/>
            <w:tabs>
              <w:tab w:val="clear" w:pos="8459"/>
              <w:tab w:val="right" w:pos="9026" w:leader="dot"/>
            </w:tabs>
            <w:rPr/>
          </w:pPr>
          <w:hyperlink w:anchor="__RefHeading___Toc1614135_3804643083">
            <w:r>
              <w:rPr>
                <w:webHidden/>
                <w:rStyle w:val="IndexLink"/>
                <w:rtl w:val="true"/>
              </w:rPr>
              <w:t>الأمر الثالث تقدّم الأمارات على الاستصحاب</w:t>
            </w:r>
            <w:r>
              <w:rPr>
                <w:rStyle w:val="IndexLink"/>
                <w:rtl w:val="true"/>
              </w:rPr>
              <w:tab/>
            </w:r>
            <w:r>
              <w:rPr>
                <w:rStyle w:val="IndexLink"/>
              </w:rPr>
              <w:t>251</w:t>
            </w:r>
          </w:hyperlink>
        </w:p>
        <w:p>
          <w:pPr>
            <w:pStyle w:val="Contents4"/>
            <w:tabs>
              <w:tab w:val="clear" w:pos="8176"/>
              <w:tab w:val="right" w:pos="9026" w:leader="dot"/>
            </w:tabs>
            <w:rPr/>
          </w:pPr>
          <w:hyperlink w:anchor="__RefHeading___Toc1614137_3804643083">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1614139_3804643083">
            <w:r>
              <w:rPr>
                <w:webHidden/>
                <w:rStyle w:val="IndexLink"/>
                <w:rtl w:val="true"/>
              </w:rPr>
              <w:t>بيان ضابط الحكومة</w:t>
            </w:r>
            <w:r>
              <w:rPr>
                <w:rStyle w:val="IndexLink"/>
                <w:rtl w:val="true"/>
              </w:rPr>
              <w:tab/>
            </w:r>
            <w:r>
              <w:rPr>
                <w:rStyle w:val="IndexLink"/>
              </w:rPr>
              <w:t>255</w:t>
            </w:r>
          </w:hyperlink>
        </w:p>
        <w:p>
          <w:pPr>
            <w:pStyle w:val="Contents2"/>
            <w:tabs>
              <w:tab w:val="clear" w:pos="8743"/>
              <w:tab w:val="right" w:pos="9026" w:leader="dot"/>
            </w:tabs>
            <w:rPr/>
          </w:pPr>
          <w:hyperlink w:anchor="__RefHeading___Toc1614141_3804643083">
            <w:r>
              <w:rPr>
                <w:webHidden/>
                <w:rStyle w:val="IndexLink"/>
                <w:rtl w:val="true"/>
              </w:rPr>
              <w:t>حال أدلّة الاستصحاب مع سائر الأدلّة و الأدلّة بعضها مع بعض</w:t>
            </w:r>
            <w:r>
              <w:rPr>
                <w:rStyle w:val="IndexLink"/>
                <w:rtl w:val="true"/>
              </w:rPr>
              <w:tab/>
            </w:r>
            <w:r>
              <w:rPr>
                <w:rStyle w:val="IndexLink"/>
              </w:rPr>
              <w:t>260</w:t>
            </w:r>
          </w:hyperlink>
        </w:p>
        <w:p>
          <w:pPr>
            <w:pStyle w:val="Contents3"/>
            <w:tabs>
              <w:tab w:val="clear" w:pos="8459"/>
              <w:tab w:val="right" w:pos="9026" w:leader="dot"/>
            </w:tabs>
            <w:rPr/>
          </w:pPr>
          <w:hyperlink w:anchor="__RefHeading___Toc1614143_3804643083">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1614145_3804643083">
            <w:r>
              <w:rPr>
                <w:webHidden/>
                <w:rStyle w:val="IndexLink"/>
                <w:rtl w:val="true"/>
              </w:rPr>
              <w:t>المقام الأوّل في حال أدلّة الاستصحاب مع أدلّة الأمارات</w:t>
            </w:r>
            <w:r>
              <w:rPr>
                <w:rStyle w:val="IndexLink"/>
                <w:rtl w:val="true"/>
              </w:rPr>
              <w:tab/>
            </w:r>
            <w:r>
              <w:rPr>
                <w:rStyle w:val="IndexLink"/>
              </w:rPr>
              <w:t>260</w:t>
            </w:r>
          </w:hyperlink>
        </w:p>
        <w:p>
          <w:pPr>
            <w:pStyle w:val="Contents3"/>
            <w:tabs>
              <w:tab w:val="clear" w:pos="8459"/>
              <w:tab w:val="right" w:pos="9026" w:leader="dot"/>
            </w:tabs>
            <w:rPr/>
          </w:pPr>
          <w:hyperlink w:anchor="__RefHeading___Toc1614147_3804643083">
            <w:r>
              <w:rPr>
                <w:webHidden/>
                <w:rStyle w:val="IndexLink"/>
                <w:rtl w:val="true"/>
              </w:rPr>
              <w:t>المقام الثاني وجه تقدّم الأمارات على أدلّة البراءة الشرعيّة</w:t>
            </w:r>
            <w:r>
              <w:rPr>
                <w:rStyle w:val="IndexLink"/>
                <w:rtl w:val="true"/>
              </w:rPr>
              <w:tab/>
            </w:r>
            <w:r>
              <w:rPr>
                <w:rStyle w:val="IndexLink"/>
              </w:rPr>
              <w:t>262</w:t>
            </w:r>
          </w:hyperlink>
        </w:p>
        <w:p>
          <w:pPr>
            <w:pStyle w:val="Contents3"/>
            <w:tabs>
              <w:tab w:val="clear" w:pos="8459"/>
              <w:tab w:val="right" w:pos="9026" w:leader="dot"/>
            </w:tabs>
            <w:rPr/>
          </w:pPr>
          <w:hyperlink w:anchor="__RefHeading___Toc1614149_3804643083">
            <w:r>
              <w:rPr>
                <w:webHidden/>
                <w:rStyle w:val="IndexLink"/>
                <w:rtl w:val="true"/>
              </w:rPr>
              <w:t>المقام الثالث وجه تقدّم أدلّة الاستصحاب على أدلّة الحلّ و البراءة الشرعيّتين</w:t>
            </w:r>
            <w:r>
              <w:rPr>
                <w:rStyle w:val="IndexLink"/>
                <w:rtl w:val="true"/>
              </w:rPr>
              <w:tab/>
            </w:r>
            <w:r>
              <w:rPr>
                <w:rStyle w:val="IndexLink"/>
              </w:rPr>
              <w:t>262</w:t>
            </w:r>
          </w:hyperlink>
        </w:p>
        <w:p>
          <w:pPr>
            <w:pStyle w:val="Contents3"/>
            <w:tabs>
              <w:tab w:val="clear" w:pos="8459"/>
              <w:tab w:val="right" w:pos="9026" w:leader="dot"/>
            </w:tabs>
            <w:rPr/>
          </w:pPr>
          <w:hyperlink w:anchor="__RefHeading___Toc1614151_3804643083">
            <w:r>
              <w:rPr>
                <w:webHidden/>
                <w:rStyle w:val="IndexLink"/>
                <w:rtl w:val="true"/>
              </w:rPr>
              <w:t>المقام الرابع في تعارض الاستصحابين</w:t>
            </w:r>
            <w:r>
              <w:rPr>
                <w:rStyle w:val="IndexLink"/>
                <w:rtl w:val="true"/>
              </w:rPr>
              <w:tab/>
            </w:r>
            <w:r>
              <w:rPr>
                <w:rStyle w:val="IndexLink"/>
              </w:rPr>
              <w:t>264</w:t>
            </w:r>
          </w:hyperlink>
        </w:p>
        <w:p>
          <w:pPr>
            <w:pStyle w:val="Contents4"/>
            <w:tabs>
              <w:tab w:val="clear" w:pos="8176"/>
              <w:tab w:val="right" w:pos="9026" w:leader="dot"/>
            </w:tabs>
            <w:rPr/>
          </w:pPr>
          <w:hyperlink w:anchor="__RefHeading___Toc1614153_3804643083">
            <w:r>
              <w:rPr>
                <w:webHidden/>
                <w:rStyle w:val="IndexLink"/>
                <w:rtl w:val="true"/>
              </w:rPr>
              <w:t>القسم الأوّل في وجه تقدّم الاستصحاب السببيّ على المسببيّ</w:t>
            </w:r>
            <w:r>
              <w:rPr>
                <w:rStyle w:val="IndexLink"/>
                <w:rtl w:val="true"/>
              </w:rPr>
              <w:tab/>
            </w:r>
            <w:r>
              <w:rPr>
                <w:rStyle w:val="IndexLink"/>
              </w:rPr>
              <w:t>264</w:t>
            </w:r>
          </w:hyperlink>
        </w:p>
        <w:p>
          <w:pPr>
            <w:pStyle w:val="Contents5"/>
            <w:tabs>
              <w:tab w:val="clear" w:pos="7892"/>
              <w:tab w:val="right" w:pos="9026" w:leader="dot"/>
            </w:tabs>
            <w:rPr/>
          </w:pPr>
          <w:hyperlink w:anchor="__RefHeading___Toc1614155_3804643083">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614157_3804643083">
            <w:r>
              <w:rPr>
                <w:webHidden/>
                <w:rStyle w:val="IndexLink"/>
                <w:rtl w:val="true"/>
              </w:rPr>
              <w:t>نقل كلام الشيخ الأعظم و نقده</w:t>
            </w:r>
            <w:r>
              <w:rPr>
                <w:rStyle w:val="IndexLink"/>
                <w:rtl w:val="true"/>
              </w:rPr>
              <w:tab/>
            </w:r>
            <w:r>
              <w:rPr>
                <w:rStyle w:val="IndexLink"/>
              </w:rPr>
              <w:t>268</w:t>
            </w:r>
          </w:hyperlink>
        </w:p>
        <w:p>
          <w:pPr>
            <w:pStyle w:val="Contents5"/>
            <w:tabs>
              <w:tab w:val="clear" w:pos="7892"/>
              <w:tab w:val="right" w:pos="9026" w:leader="dot"/>
            </w:tabs>
            <w:rPr/>
          </w:pPr>
          <w:hyperlink w:anchor="__RefHeading___Toc1614159_3804643083">
            <w:r>
              <w:rPr>
                <w:webHidden/>
                <w:rStyle w:val="IndexLink"/>
                <w:rtl w:val="true"/>
              </w:rPr>
              <w:t>الأشكال على ما قالوا في وجه طهارة الملاقي لبعض أطراف العلم</w:t>
            </w:r>
            <w:r>
              <w:rPr>
                <w:rStyle w:val="IndexLink"/>
                <w:rtl w:val="true"/>
              </w:rPr>
              <w:tab/>
            </w:r>
            <w:r>
              <w:rPr>
                <w:rStyle w:val="IndexLink"/>
              </w:rPr>
              <w:t>271</w:t>
            </w:r>
          </w:hyperlink>
        </w:p>
        <w:p>
          <w:pPr>
            <w:pStyle w:val="Contents5"/>
            <w:tabs>
              <w:tab w:val="clear" w:pos="7892"/>
              <w:tab w:val="right" w:pos="9026" w:leader="dot"/>
            </w:tabs>
            <w:rPr/>
          </w:pPr>
          <w:hyperlink w:anchor="__RefHeading___Toc1614161_3804643083">
            <w:r>
              <w:rPr>
                <w:webHidden/>
                <w:rStyle w:val="IndexLink"/>
                <w:rtl w:val="true"/>
              </w:rPr>
              <w:t>دفع إشكال أوردناه على صحيحة زُرارة</w:t>
            </w:r>
            <w:r>
              <w:rPr>
                <w:rStyle w:val="IndexLink"/>
                <w:rtl w:val="true"/>
              </w:rPr>
              <w:tab/>
            </w:r>
            <w:r>
              <w:rPr>
                <w:rStyle w:val="IndexLink"/>
              </w:rPr>
              <w:t>272</w:t>
            </w:r>
          </w:hyperlink>
        </w:p>
        <w:p>
          <w:pPr>
            <w:pStyle w:val="Contents4"/>
            <w:tabs>
              <w:tab w:val="clear" w:pos="8176"/>
              <w:tab w:val="right" w:pos="9026" w:leader="dot"/>
            </w:tabs>
            <w:rPr/>
          </w:pPr>
          <w:hyperlink w:anchor="__RefHeading___Toc1614163_3804643083">
            <w:r>
              <w:rPr>
                <w:webHidden/>
                <w:rStyle w:val="IndexLink"/>
                <w:rtl w:val="true"/>
              </w:rPr>
              <w:t>القسم الثاني من تعارض الاستصحابين</w:t>
            </w:r>
            <w:r>
              <w:rPr>
                <w:rStyle w:val="IndexLink"/>
                <w:rtl w:val="true"/>
              </w:rPr>
              <w:tab/>
            </w:r>
            <w:r>
              <w:rPr>
                <w:rStyle w:val="IndexLink"/>
              </w:rPr>
              <w:t>274</w:t>
            </w:r>
          </w:hyperlink>
        </w:p>
        <w:p>
          <w:pPr>
            <w:pStyle w:val="Contents5"/>
            <w:tabs>
              <w:tab w:val="clear" w:pos="7892"/>
              <w:tab w:val="right" w:pos="9026" w:leader="dot"/>
            </w:tabs>
            <w:rPr/>
          </w:pPr>
          <w:hyperlink w:anchor="__RefHeading___Toc1614165_3804643083">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614167_3804643083">
            <w:r>
              <w:rPr>
                <w:webHidden/>
                <w:rStyle w:val="IndexLink"/>
                <w:rtl w:val="true"/>
              </w:rPr>
              <w:t>عدم جواز ترجيح ذي المزيّة بشي‌ءٍ من المُرجّحات</w:t>
            </w:r>
            <w:r>
              <w:rPr>
                <w:rStyle w:val="IndexLink"/>
                <w:rtl w:val="true"/>
              </w:rPr>
              <w:tab/>
            </w:r>
            <w:r>
              <w:rPr>
                <w:rStyle w:val="IndexLink"/>
              </w:rPr>
              <w:t>275</w:t>
            </w:r>
          </w:hyperlink>
        </w:p>
        <w:p>
          <w:pPr>
            <w:pStyle w:val="Contents5"/>
            <w:tabs>
              <w:tab w:val="clear" w:pos="7892"/>
              <w:tab w:val="right" w:pos="9026" w:leader="dot"/>
            </w:tabs>
            <w:rPr/>
          </w:pPr>
          <w:hyperlink w:anchor="__RefHeading___Toc1614169_3804643083">
            <w:r>
              <w:rPr>
                <w:webHidden/>
                <w:rStyle w:val="IndexLink"/>
                <w:rtl w:val="true"/>
              </w:rPr>
              <w:t>بيان وجه تساقطهما</w:t>
            </w:r>
            <w:r>
              <w:rPr>
                <w:rStyle w:val="IndexLink"/>
                <w:rtl w:val="true"/>
              </w:rPr>
              <w:tab/>
            </w:r>
            <w:r>
              <w:rPr>
                <w:rStyle w:val="IndexLink"/>
              </w:rPr>
              <w:t>277</w:t>
            </w:r>
          </w:hyperlink>
        </w:p>
        <w:p>
          <w:pPr>
            <w:pStyle w:val="Contents5"/>
            <w:tabs>
              <w:tab w:val="clear" w:pos="7892"/>
              <w:tab w:val="right" w:pos="9026" w:leader="dot"/>
            </w:tabs>
            <w:rPr/>
          </w:pPr>
          <w:hyperlink w:anchor="__RefHeading___Toc1614171_3804643083">
            <w:r>
              <w:rPr>
                <w:webHidden/>
                <w:rStyle w:val="IndexLink"/>
                <w:rtl w:val="true"/>
              </w:rPr>
              <w:t>حول وجهي التخيير و الجواب عنهما</w:t>
            </w:r>
            <w:r>
              <w:rPr>
                <w:rStyle w:val="IndexLink"/>
                <w:rtl w:val="true"/>
              </w:rPr>
              <w:tab/>
            </w:r>
            <w:r>
              <w:rPr>
                <w:rStyle w:val="IndexLink"/>
              </w:rPr>
              <w:t>278</w:t>
            </w:r>
          </w:hyperlink>
        </w:p>
        <w:p>
          <w:pPr>
            <w:pStyle w:val="Contents2"/>
            <w:tabs>
              <w:tab w:val="clear" w:pos="8743"/>
              <w:tab w:val="right" w:pos="9026" w:leader="dot"/>
            </w:tabs>
            <w:rPr/>
          </w:pPr>
          <w:hyperlink w:anchor="__RefHeading___Toc1614173_3804643083">
            <w:r>
              <w:rPr>
                <w:webHidden/>
                <w:rStyle w:val="IndexLink"/>
                <w:rtl w:val="true"/>
              </w:rPr>
              <w:t>حال الاستصحاب مع سائر القواعد</w:t>
            </w:r>
            <w:r>
              <w:rPr>
                <w:rStyle w:val="IndexLink"/>
                <w:rtl w:val="true"/>
              </w:rPr>
              <w:tab/>
            </w:r>
            <w:r>
              <w:rPr>
                <w:rStyle w:val="IndexLink"/>
              </w:rPr>
              <w:t>283</w:t>
            </w:r>
          </w:hyperlink>
        </w:p>
        <w:p>
          <w:pPr>
            <w:pStyle w:val="Contents3"/>
            <w:tabs>
              <w:tab w:val="clear" w:pos="8459"/>
              <w:tab w:val="right" w:pos="9026" w:leader="dot"/>
            </w:tabs>
            <w:rPr/>
          </w:pPr>
          <w:hyperlink w:anchor="__RefHeading___Toc1614175_3804643083">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1614177_3804643083">
            <w:r>
              <w:rPr>
                <w:webHidden/>
                <w:rStyle w:val="IndexLink"/>
                <w:rtl w:val="true"/>
              </w:rPr>
              <w:t>المبحث الأوّل في قاعدة اليد</w:t>
            </w:r>
            <w:r>
              <w:rPr>
                <w:rStyle w:val="IndexLink"/>
                <w:rtl w:val="true"/>
              </w:rPr>
              <w:tab/>
            </w:r>
            <w:r>
              <w:rPr>
                <w:rStyle w:val="IndexLink"/>
              </w:rPr>
              <w:t>283</w:t>
            </w:r>
          </w:hyperlink>
        </w:p>
        <w:p>
          <w:pPr>
            <w:pStyle w:val="Contents4"/>
            <w:tabs>
              <w:tab w:val="clear" w:pos="8176"/>
              <w:tab w:val="right" w:pos="9026" w:leader="dot"/>
            </w:tabs>
            <w:rPr/>
          </w:pPr>
          <w:hyperlink w:anchor="__RefHeading___Toc1614179_3804643083">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1614181_3804643083">
            <w:r>
              <w:rPr>
                <w:webHidden/>
                <w:rStyle w:val="IndexLink"/>
                <w:rtl w:val="true"/>
              </w:rPr>
              <w:t>الجهة الأولى في تحقيق ماهيّة اليد</w:t>
            </w:r>
            <w:r>
              <w:rPr>
                <w:rStyle w:val="IndexLink"/>
                <w:rtl w:val="true"/>
              </w:rPr>
              <w:tab/>
            </w:r>
            <w:r>
              <w:rPr>
                <w:rStyle w:val="IndexLink"/>
              </w:rPr>
              <w:t>284</w:t>
            </w:r>
          </w:hyperlink>
        </w:p>
        <w:p>
          <w:pPr>
            <w:pStyle w:val="Contents4"/>
            <w:tabs>
              <w:tab w:val="clear" w:pos="8176"/>
              <w:tab w:val="right" w:pos="9026" w:leader="dot"/>
            </w:tabs>
            <w:rPr/>
          </w:pPr>
          <w:hyperlink w:anchor="__RefHeading___Toc1614183_3804643083">
            <w:r>
              <w:rPr>
                <w:webHidden/>
                <w:rStyle w:val="IndexLink"/>
                <w:rtl w:val="true"/>
              </w:rPr>
              <w:t>الجهة الثانية الدليل على اعتبارها</w:t>
            </w:r>
            <w:r>
              <w:rPr>
                <w:rStyle w:val="IndexLink"/>
                <w:rtl w:val="true"/>
              </w:rPr>
              <w:tab/>
            </w:r>
            <w:r>
              <w:rPr>
                <w:rStyle w:val="IndexLink"/>
              </w:rPr>
              <w:t>285</w:t>
            </w:r>
          </w:hyperlink>
        </w:p>
        <w:p>
          <w:pPr>
            <w:pStyle w:val="Contents4"/>
            <w:tabs>
              <w:tab w:val="clear" w:pos="8176"/>
              <w:tab w:val="right" w:pos="9026" w:leader="dot"/>
            </w:tabs>
            <w:rPr/>
          </w:pPr>
          <w:hyperlink w:anchor="__RefHeading___Toc1614185_3804643083">
            <w:r>
              <w:rPr>
                <w:webHidden/>
                <w:rStyle w:val="IndexLink"/>
                <w:rtl w:val="true"/>
              </w:rPr>
              <w:t>الجهة الثالثة حكم اليد على المنفعة</w:t>
            </w:r>
            <w:r>
              <w:rPr>
                <w:rStyle w:val="IndexLink"/>
                <w:rtl w:val="true"/>
              </w:rPr>
              <w:tab/>
            </w:r>
            <w:r>
              <w:rPr>
                <w:rStyle w:val="IndexLink"/>
              </w:rPr>
              <w:t>300</w:t>
            </w:r>
          </w:hyperlink>
        </w:p>
        <w:p>
          <w:pPr>
            <w:pStyle w:val="Contents4"/>
            <w:tabs>
              <w:tab w:val="clear" w:pos="8176"/>
              <w:tab w:val="right" w:pos="9026" w:leader="dot"/>
            </w:tabs>
            <w:rPr/>
          </w:pPr>
          <w:hyperlink w:anchor="__RefHeading___Toc1614187_3804643083">
            <w:r>
              <w:rPr>
                <w:webHidden/>
                <w:rStyle w:val="IndexLink"/>
                <w:rtl w:val="true"/>
              </w:rPr>
              <w:t>الجهة الرابعة هل اليد مُعتبرة مع عدم علم ذي اليد و اعترافه به؟</w:t>
            </w:r>
            <w:r>
              <w:rPr>
                <w:rStyle w:val="IndexLink"/>
                <w:rtl w:val="true"/>
              </w:rPr>
              <w:tab/>
            </w:r>
            <w:r>
              <w:rPr>
                <w:rStyle w:val="IndexLink"/>
              </w:rPr>
              <w:t>302</w:t>
            </w:r>
          </w:hyperlink>
        </w:p>
        <w:p>
          <w:pPr>
            <w:pStyle w:val="Contents4"/>
            <w:tabs>
              <w:tab w:val="clear" w:pos="8176"/>
              <w:tab w:val="right" w:pos="9026" w:leader="dot"/>
            </w:tabs>
            <w:rPr/>
          </w:pPr>
          <w:hyperlink w:anchor="__RefHeading___Toc1614189_3804643083">
            <w:r>
              <w:rPr>
                <w:webHidden/>
                <w:rStyle w:val="IndexLink"/>
                <w:rtl w:val="true"/>
              </w:rPr>
              <w:t>الجهة الخامسة حال اليدين على شي‌ءٍ واحد</w:t>
            </w:r>
            <w:r>
              <w:rPr>
                <w:rStyle w:val="IndexLink"/>
                <w:rtl w:val="true"/>
              </w:rPr>
              <w:tab/>
            </w:r>
            <w:r>
              <w:rPr>
                <w:rStyle w:val="IndexLink"/>
              </w:rPr>
              <w:t>304</w:t>
            </w:r>
          </w:hyperlink>
        </w:p>
        <w:p>
          <w:pPr>
            <w:pStyle w:val="Contents5"/>
            <w:tabs>
              <w:tab w:val="clear" w:pos="7892"/>
              <w:tab w:val="right" w:pos="9026" w:leader="dot"/>
            </w:tabs>
            <w:rPr/>
          </w:pPr>
          <w:hyperlink w:anchor="__RefHeading___Toc1614191_3804643083">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614193_3804643083">
            <w:r>
              <w:rPr>
                <w:webHidden/>
                <w:rStyle w:val="IndexLink"/>
                <w:rtl w:val="true"/>
              </w:rPr>
              <w:t>حول كلام المحقّق السيّد الطباطبائيّ قدّس سرّه و ما يرد عليه</w:t>
            </w:r>
            <w:r>
              <w:rPr>
                <w:rStyle w:val="IndexLink"/>
                <w:rtl w:val="true"/>
              </w:rPr>
              <w:tab/>
            </w:r>
            <w:r>
              <w:rPr>
                <w:rStyle w:val="IndexLink"/>
              </w:rPr>
              <w:t>305</w:t>
            </w:r>
          </w:hyperlink>
        </w:p>
        <w:p>
          <w:pPr>
            <w:pStyle w:val="Contents4"/>
            <w:tabs>
              <w:tab w:val="clear" w:pos="8176"/>
              <w:tab w:val="right" w:pos="9026" w:leader="dot"/>
            </w:tabs>
            <w:rPr/>
          </w:pPr>
          <w:hyperlink w:anchor="__RefHeading___Toc1614195_3804643083">
            <w:r>
              <w:rPr>
                <w:webHidden/>
                <w:rStyle w:val="IndexLink"/>
                <w:rtl w:val="true"/>
              </w:rPr>
              <w:t>الجهة السادسة في إقامة الدعوى على ذي اليد و فروعها</w:t>
            </w:r>
            <w:r>
              <w:rPr>
                <w:rStyle w:val="IndexLink"/>
                <w:rtl w:val="true"/>
              </w:rPr>
              <w:tab/>
            </w:r>
            <w:r>
              <w:rPr>
                <w:rStyle w:val="IndexLink"/>
              </w:rPr>
              <w:t>316</w:t>
            </w:r>
          </w:hyperlink>
        </w:p>
        <w:p>
          <w:pPr>
            <w:pStyle w:val="Contents5"/>
            <w:tabs>
              <w:tab w:val="clear" w:pos="7892"/>
              <w:tab w:val="right" w:pos="9026" w:leader="dot"/>
            </w:tabs>
            <w:rPr/>
          </w:pPr>
          <w:hyperlink w:anchor="__RefHeading___Toc1614197_3804643083">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1614199_3804643083">
            <w:r>
              <w:rPr>
                <w:webHidden/>
                <w:rStyle w:val="IndexLink"/>
                <w:rtl w:val="true"/>
              </w:rPr>
              <w:t>تنبيه الاحتجاج في أمر فَدَك</w:t>
            </w:r>
            <w:r>
              <w:rPr>
                <w:rStyle w:val="IndexLink"/>
                <w:rtl w:val="true"/>
              </w:rPr>
              <w:tab/>
            </w:r>
            <w:r>
              <w:rPr>
                <w:rStyle w:val="IndexLink"/>
              </w:rPr>
              <w:t>317</w:t>
            </w:r>
          </w:hyperlink>
        </w:p>
        <w:p>
          <w:pPr>
            <w:pStyle w:val="Contents4"/>
            <w:tabs>
              <w:tab w:val="clear" w:pos="8176"/>
              <w:tab w:val="right" w:pos="9026" w:leader="dot"/>
            </w:tabs>
            <w:rPr/>
          </w:pPr>
          <w:hyperlink w:anchor="__RefHeading___Toc1614201_3804643083">
            <w:r>
              <w:rPr>
                <w:webHidden/>
                <w:rStyle w:val="IndexLink"/>
                <w:rtl w:val="true"/>
              </w:rPr>
              <w:t>الجهة السابعة في فروع العلم بسابقة اليد</w:t>
            </w:r>
            <w:r>
              <w:rPr>
                <w:rStyle w:val="IndexLink"/>
                <w:rtl w:val="true"/>
              </w:rPr>
              <w:tab/>
            </w:r>
            <w:r>
              <w:rPr>
                <w:rStyle w:val="IndexLink"/>
              </w:rPr>
              <w:t>321</w:t>
            </w:r>
          </w:hyperlink>
        </w:p>
        <w:p>
          <w:pPr>
            <w:pStyle w:val="Contents4"/>
            <w:tabs>
              <w:tab w:val="clear" w:pos="8176"/>
              <w:tab w:val="right" w:pos="9026" w:leader="dot"/>
            </w:tabs>
            <w:rPr/>
          </w:pPr>
          <w:hyperlink w:anchor="__RefHeading___Toc1614203_3804643083">
            <w:r>
              <w:rPr>
                <w:webHidden/>
                <w:rStyle w:val="IndexLink"/>
                <w:rtl w:val="true"/>
              </w:rPr>
              <w:t>الجهة الثامنة في كون ما في اليد وقفاً سابقاً</w:t>
            </w:r>
            <w:r>
              <w:rPr>
                <w:rStyle w:val="IndexLink"/>
                <w:rtl w:val="true"/>
              </w:rPr>
              <w:tab/>
            </w:r>
            <w:r>
              <w:rPr>
                <w:rStyle w:val="IndexLink"/>
              </w:rPr>
              <w:t>322</w:t>
            </w:r>
          </w:hyperlink>
        </w:p>
        <w:p>
          <w:pPr>
            <w:pStyle w:val="Contents3"/>
            <w:tabs>
              <w:tab w:val="clear" w:pos="8459"/>
              <w:tab w:val="right" w:pos="9026" w:leader="dot"/>
            </w:tabs>
            <w:rPr/>
          </w:pPr>
          <w:hyperlink w:anchor="__RefHeading___Toc1614205_3804643083">
            <w:r>
              <w:rPr>
                <w:webHidden/>
                <w:rStyle w:val="IndexLink"/>
                <w:rtl w:val="true"/>
              </w:rPr>
              <w:t>المبحث الثاني حال الاستصحاب مع قاعدة التجاوز و الفراغ</w:t>
            </w:r>
            <w:r>
              <w:rPr>
                <w:rStyle w:val="IndexLink"/>
                <w:rtl w:val="true"/>
              </w:rPr>
              <w:tab/>
            </w:r>
            <w:r>
              <w:rPr>
                <w:rStyle w:val="IndexLink"/>
              </w:rPr>
              <w:t>324</w:t>
            </w:r>
          </w:hyperlink>
        </w:p>
        <w:p>
          <w:pPr>
            <w:pStyle w:val="Contents4"/>
            <w:tabs>
              <w:tab w:val="clear" w:pos="8176"/>
              <w:tab w:val="right" w:pos="9026" w:leader="dot"/>
            </w:tabs>
            <w:rPr/>
          </w:pPr>
          <w:hyperlink w:anchor="__RefHeading___Toc1614207_3804643083">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1614209_3804643083">
            <w:r>
              <w:rPr>
                <w:webHidden/>
                <w:rStyle w:val="IndexLink"/>
                <w:rtl w:val="true"/>
              </w:rPr>
              <w:t>الأمر الأوّل في ذكر الأخبار التي تُستفاد منها القاعدة الكليّة</w:t>
            </w:r>
            <w:r>
              <w:rPr>
                <w:rStyle w:val="IndexLink"/>
                <w:rtl w:val="true"/>
              </w:rPr>
              <w:tab/>
            </w:r>
            <w:r>
              <w:rPr>
                <w:rStyle w:val="IndexLink"/>
              </w:rPr>
              <w:t>325</w:t>
            </w:r>
          </w:hyperlink>
        </w:p>
        <w:p>
          <w:pPr>
            <w:pStyle w:val="Contents4"/>
            <w:tabs>
              <w:tab w:val="clear" w:pos="8176"/>
              <w:tab w:val="right" w:pos="9026" w:leader="dot"/>
            </w:tabs>
            <w:rPr/>
          </w:pPr>
          <w:hyperlink w:anchor="__RefHeading___Toc1614211_3804643083">
            <w:r>
              <w:rPr>
                <w:webHidden/>
                <w:rStyle w:val="IndexLink"/>
                <w:rtl w:val="true"/>
              </w:rPr>
              <w:t>الأمر الثاني أنَّ المُراد من الشكّ في الشي‌ء هو الشكّ في الوجود</w:t>
            </w:r>
            <w:r>
              <w:rPr>
                <w:rStyle w:val="IndexLink"/>
                <w:rtl w:val="true"/>
              </w:rPr>
              <w:tab/>
            </w:r>
            <w:r>
              <w:rPr>
                <w:rStyle w:val="IndexLink"/>
              </w:rPr>
              <w:t>331</w:t>
            </w:r>
          </w:hyperlink>
        </w:p>
        <w:p>
          <w:pPr>
            <w:pStyle w:val="Contents4"/>
            <w:tabs>
              <w:tab w:val="clear" w:pos="8176"/>
              <w:tab w:val="right" w:pos="9026" w:leader="dot"/>
            </w:tabs>
            <w:rPr/>
          </w:pPr>
          <w:hyperlink w:anchor="__RefHeading___Toc1614213_3804643083">
            <w:r>
              <w:rPr>
                <w:webHidden/>
                <w:rStyle w:val="IndexLink"/>
                <w:rtl w:val="true"/>
              </w:rPr>
              <w:t>الأمر الثالث أنَّ المُستفاد من الروايات قاعدة واحدة و هي التجاوز</w:t>
            </w:r>
            <w:r>
              <w:rPr>
                <w:rStyle w:val="IndexLink"/>
                <w:rtl w:val="true"/>
              </w:rPr>
              <w:tab/>
            </w:r>
            <w:r>
              <w:rPr>
                <w:rStyle w:val="IndexLink"/>
              </w:rPr>
              <w:t>334</w:t>
            </w:r>
          </w:hyperlink>
        </w:p>
        <w:p>
          <w:pPr>
            <w:pStyle w:val="Contents4"/>
            <w:tabs>
              <w:tab w:val="clear" w:pos="8176"/>
              <w:tab w:val="right" w:pos="9026" w:leader="dot"/>
            </w:tabs>
            <w:rPr/>
          </w:pPr>
          <w:hyperlink w:anchor="__RefHeading___Toc1614215_3804643083">
            <w:r>
              <w:rPr>
                <w:webHidden/>
                <w:rStyle w:val="IndexLink"/>
                <w:rtl w:val="true"/>
              </w:rPr>
              <w:t>الأمر الرابع أنَّ المُراد من المحلّ هو المحلّ الشرعيّ</w:t>
            </w:r>
            <w:r>
              <w:rPr>
                <w:rStyle w:val="IndexLink"/>
                <w:rtl w:val="true"/>
              </w:rPr>
              <w:tab/>
            </w:r>
            <w:r>
              <w:rPr>
                <w:rStyle w:val="IndexLink"/>
              </w:rPr>
              <w:t>345</w:t>
            </w:r>
          </w:hyperlink>
        </w:p>
        <w:p>
          <w:pPr>
            <w:pStyle w:val="Contents4"/>
            <w:tabs>
              <w:tab w:val="clear" w:pos="8176"/>
              <w:tab w:val="right" w:pos="9026" w:leader="dot"/>
            </w:tabs>
            <w:rPr/>
          </w:pPr>
          <w:hyperlink w:anchor="__RefHeading___Toc1614217_3804643083">
            <w:r>
              <w:rPr>
                <w:webHidden/>
                <w:rStyle w:val="IndexLink"/>
                <w:rtl w:val="true"/>
              </w:rPr>
              <w:t>الأمر الخامس هل الدخول في الغير مُعتبر في القاعدة أم لا؟</w:t>
            </w:r>
            <w:r>
              <w:rPr>
                <w:rStyle w:val="IndexLink"/>
                <w:rtl w:val="true"/>
              </w:rPr>
              <w:tab/>
            </w:r>
            <w:r>
              <w:rPr>
                <w:rStyle w:val="IndexLink"/>
              </w:rPr>
              <w:t>348</w:t>
            </w:r>
          </w:hyperlink>
        </w:p>
        <w:p>
          <w:pPr>
            <w:pStyle w:val="Contents4"/>
            <w:tabs>
              <w:tab w:val="clear" w:pos="8176"/>
              <w:tab w:val="right" w:pos="9026" w:leader="dot"/>
            </w:tabs>
            <w:rPr/>
          </w:pPr>
          <w:hyperlink w:anchor="__RefHeading___Toc1614219_3804643083">
            <w:r>
              <w:rPr>
                <w:webHidden/>
                <w:rStyle w:val="IndexLink"/>
                <w:rtl w:val="true"/>
              </w:rPr>
              <w:t>الأمر السادس هل المضيّ و عدم الاعتناء بالشكّ بعد التجاوز على نحو الرخصة أو العزيمة؟</w:t>
            </w:r>
            <w:r>
              <w:rPr>
                <w:rStyle w:val="IndexLink"/>
                <w:rtl w:val="true"/>
              </w:rPr>
              <w:tab/>
            </w:r>
            <w:r>
              <w:rPr>
                <w:rStyle w:val="IndexLink"/>
              </w:rPr>
              <w:t>353</w:t>
            </w:r>
          </w:hyperlink>
        </w:p>
        <w:p>
          <w:pPr>
            <w:pStyle w:val="Contents4"/>
            <w:tabs>
              <w:tab w:val="clear" w:pos="8176"/>
              <w:tab w:val="right" w:pos="9026" w:leader="dot"/>
            </w:tabs>
            <w:rPr/>
          </w:pPr>
          <w:hyperlink w:anchor="__RefHeading___Toc1614221_3804643083">
            <w:r>
              <w:rPr>
                <w:webHidden/>
                <w:rStyle w:val="IndexLink"/>
                <w:rtl w:val="true"/>
              </w:rPr>
              <w:t>الأمر السابع أنَّ القاعدة من الأمارات أو الاصول؟</w:t>
            </w:r>
            <w:r>
              <w:rPr>
                <w:rStyle w:val="IndexLink"/>
                <w:rtl w:val="true"/>
              </w:rPr>
              <w:tab/>
            </w:r>
            <w:r>
              <w:rPr>
                <w:rStyle w:val="IndexLink"/>
              </w:rPr>
              <w:t>355</w:t>
            </w:r>
          </w:hyperlink>
        </w:p>
        <w:p>
          <w:pPr>
            <w:pStyle w:val="Contents5"/>
            <w:tabs>
              <w:tab w:val="clear" w:pos="7892"/>
              <w:tab w:val="right" w:pos="9026" w:leader="dot"/>
            </w:tabs>
            <w:rPr/>
          </w:pPr>
          <w:hyperlink w:anchor="__RefHeading___Toc1614223_3804643083">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1614225_3804643083">
            <w:r>
              <w:rPr>
                <w:webHidden/>
                <w:rStyle w:val="IndexLink"/>
                <w:rtl w:val="true"/>
              </w:rPr>
              <w:t>أنَّ القاعدة أصل محرِز حيثيّ</w:t>
            </w:r>
            <w:r>
              <w:rPr>
                <w:rStyle w:val="IndexLink"/>
                <w:rtl w:val="true"/>
              </w:rPr>
              <w:tab/>
            </w:r>
            <w:r>
              <w:rPr>
                <w:rStyle w:val="IndexLink"/>
              </w:rPr>
              <w:t>361</w:t>
            </w:r>
          </w:hyperlink>
        </w:p>
        <w:p>
          <w:pPr>
            <w:pStyle w:val="Contents5"/>
            <w:tabs>
              <w:tab w:val="clear" w:pos="7892"/>
              <w:tab w:val="right" w:pos="9026" w:leader="dot"/>
            </w:tabs>
            <w:rPr/>
          </w:pPr>
          <w:hyperlink w:anchor="__RefHeading___Toc1614227_3804643083">
            <w:r>
              <w:rPr>
                <w:webHidden/>
                <w:rStyle w:val="IndexLink"/>
                <w:rtl w:val="true"/>
              </w:rPr>
              <w:t>تنبيه</w:t>
            </w:r>
            <w:r>
              <w:rPr>
                <w:rStyle w:val="IndexLink"/>
                <w:rtl w:val="true"/>
              </w:rPr>
              <w:tab/>
            </w:r>
            <w:r>
              <w:rPr>
                <w:rStyle w:val="IndexLink"/>
              </w:rPr>
              <w:t>362</w:t>
            </w:r>
          </w:hyperlink>
        </w:p>
        <w:p>
          <w:pPr>
            <w:pStyle w:val="Contents4"/>
            <w:tabs>
              <w:tab w:val="clear" w:pos="8176"/>
              <w:tab w:val="right" w:pos="9026" w:leader="dot"/>
            </w:tabs>
            <w:rPr/>
          </w:pPr>
          <w:hyperlink w:anchor="__RefHeading___Toc1614229_3804643083">
            <w:r>
              <w:rPr>
                <w:webHidden/>
                <w:rStyle w:val="IndexLink"/>
                <w:rtl w:val="true"/>
              </w:rPr>
              <w:t>الأمر الثامن أنحاء الشكوك العارضة للمُكلّف</w:t>
            </w:r>
            <w:r>
              <w:rPr>
                <w:rStyle w:val="IndexLink"/>
                <w:rtl w:val="true"/>
              </w:rPr>
              <w:tab/>
            </w:r>
            <w:r>
              <w:rPr>
                <w:rStyle w:val="IndexLink"/>
              </w:rPr>
              <w:t>364</w:t>
            </w:r>
          </w:hyperlink>
        </w:p>
        <w:p>
          <w:pPr>
            <w:pStyle w:val="Contents5"/>
            <w:tabs>
              <w:tab w:val="clear" w:pos="7892"/>
              <w:tab w:val="right" w:pos="9026" w:leader="dot"/>
            </w:tabs>
            <w:rPr/>
          </w:pPr>
          <w:hyperlink w:anchor="__RefHeading___Toc1614231_3804643083">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1614233_3804643083">
            <w:r>
              <w:rPr>
                <w:webHidden/>
                <w:rStyle w:val="IndexLink"/>
                <w:rtl w:val="true"/>
              </w:rPr>
              <w:t>كلام بعض المُحقّقين و ما يرد عليه</w:t>
            </w:r>
            <w:r>
              <w:rPr>
                <w:rStyle w:val="IndexLink"/>
                <w:rtl w:val="true"/>
              </w:rPr>
              <w:tab/>
            </w:r>
            <w:r>
              <w:rPr>
                <w:rStyle w:val="IndexLink"/>
              </w:rPr>
              <w:t>367</w:t>
            </w:r>
          </w:hyperlink>
        </w:p>
        <w:p>
          <w:pPr>
            <w:pStyle w:val="Contents5"/>
            <w:tabs>
              <w:tab w:val="clear" w:pos="7892"/>
              <w:tab w:val="right" w:pos="9026" w:leader="dot"/>
            </w:tabs>
            <w:rPr/>
          </w:pPr>
          <w:hyperlink w:anchor="__RefHeading___Toc1614235_3804643083">
            <w:r>
              <w:rPr>
                <w:webHidden/>
                <w:rStyle w:val="IndexLink"/>
                <w:rtl w:val="true"/>
              </w:rPr>
              <w:t>حال الشكّ في العبادات</w:t>
            </w:r>
            <w:r>
              <w:rPr>
                <w:rStyle w:val="IndexLink"/>
                <w:rtl w:val="true"/>
              </w:rPr>
              <w:tab/>
            </w:r>
            <w:r>
              <w:rPr>
                <w:rStyle w:val="IndexLink"/>
              </w:rPr>
              <w:t>369</w:t>
            </w:r>
          </w:hyperlink>
        </w:p>
        <w:p>
          <w:pPr>
            <w:pStyle w:val="Contents5"/>
            <w:tabs>
              <w:tab w:val="clear" w:pos="7892"/>
              <w:tab w:val="right" w:pos="9026" w:leader="dot"/>
            </w:tabs>
            <w:rPr/>
          </w:pPr>
          <w:hyperlink w:anchor="__RefHeading___Toc1614237_3804643083">
            <w:r>
              <w:rPr>
                <w:webHidden/>
                <w:rStyle w:val="IndexLink"/>
                <w:rtl w:val="true"/>
              </w:rPr>
              <w:t>حل الشكّ في المعاملات</w:t>
            </w:r>
            <w:r>
              <w:rPr>
                <w:rStyle w:val="IndexLink"/>
                <w:rtl w:val="true"/>
              </w:rPr>
              <w:tab/>
            </w:r>
            <w:r>
              <w:rPr>
                <w:rStyle w:val="IndexLink"/>
              </w:rPr>
              <w:t>370</w:t>
            </w:r>
          </w:hyperlink>
        </w:p>
        <w:p>
          <w:pPr>
            <w:pStyle w:val="Contents4"/>
            <w:tabs>
              <w:tab w:val="clear" w:pos="8176"/>
              <w:tab w:val="right" w:pos="9026" w:leader="dot"/>
            </w:tabs>
            <w:rPr/>
          </w:pPr>
          <w:hyperlink w:anchor="__RefHeading___Toc1614239_3804643083">
            <w:r>
              <w:rPr>
                <w:webHidden/>
                <w:rStyle w:val="IndexLink"/>
                <w:rtl w:val="true"/>
              </w:rPr>
              <w:t>الأمر التاسع اختصاص القاعدة بالشكّ الحادث</w:t>
            </w:r>
            <w:r>
              <w:rPr>
                <w:rStyle w:val="IndexLink"/>
                <w:rtl w:val="true"/>
              </w:rPr>
              <w:tab/>
            </w:r>
            <w:r>
              <w:rPr>
                <w:rStyle w:val="IndexLink"/>
              </w:rPr>
              <w:t>373</w:t>
            </w:r>
          </w:hyperlink>
        </w:p>
        <w:p>
          <w:pPr>
            <w:pStyle w:val="Contents4"/>
            <w:tabs>
              <w:tab w:val="clear" w:pos="8176"/>
              <w:tab w:val="right" w:pos="9026" w:leader="dot"/>
            </w:tabs>
            <w:rPr/>
          </w:pPr>
          <w:hyperlink w:anchor="__RefHeading___Toc1614241_3804643083">
            <w:r>
              <w:rPr>
                <w:webHidden/>
                <w:rStyle w:val="IndexLink"/>
                <w:rtl w:val="true"/>
              </w:rPr>
              <w:t>الأمر العاشر وجه تقدّمها على الاستصحاب</w:t>
            </w:r>
            <w:r>
              <w:rPr>
                <w:rStyle w:val="IndexLink"/>
                <w:rtl w:val="true"/>
              </w:rPr>
              <w:tab/>
            </w:r>
            <w:r>
              <w:rPr>
                <w:rStyle w:val="IndexLink"/>
              </w:rPr>
              <w:t>374</w:t>
            </w:r>
          </w:hyperlink>
        </w:p>
        <w:p>
          <w:pPr>
            <w:pStyle w:val="Contents3"/>
            <w:tabs>
              <w:tab w:val="clear" w:pos="8459"/>
              <w:tab w:val="right" w:pos="9026" w:leader="dot"/>
            </w:tabs>
            <w:rPr/>
          </w:pPr>
          <w:hyperlink w:anchor="__RefHeading___Toc1614243_3804643083">
            <w:r>
              <w:rPr>
                <w:webHidden/>
                <w:rStyle w:val="IndexLink"/>
                <w:rtl w:val="true"/>
              </w:rPr>
              <w:t>المبحث الثالث في حال الاستصحاب مع أصالة الصحّة في فعل الغير</w:t>
            </w:r>
            <w:r>
              <w:rPr>
                <w:rStyle w:val="IndexLink"/>
                <w:rtl w:val="true"/>
              </w:rPr>
              <w:tab/>
            </w:r>
            <w:r>
              <w:rPr>
                <w:rStyle w:val="IndexLink"/>
              </w:rPr>
              <w:t>376</w:t>
            </w:r>
          </w:hyperlink>
        </w:p>
        <w:p>
          <w:pPr>
            <w:pStyle w:val="Contents4"/>
            <w:tabs>
              <w:tab w:val="clear" w:pos="8176"/>
              <w:tab w:val="right" w:pos="9026" w:leader="dot"/>
            </w:tabs>
            <w:rPr/>
          </w:pPr>
          <w:hyperlink w:anchor="__RefHeading___Toc1614245_3804643083">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1614247_3804643083">
            <w:r>
              <w:rPr>
                <w:webHidden/>
                <w:rStyle w:val="IndexLink"/>
                <w:rtl w:val="true"/>
              </w:rPr>
              <w:t>الأمر الأوّل في أصالة الصحّة و دليل اعتبارها</w:t>
            </w:r>
            <w:r>
              <w:rPr>
                <w:rStyle w:val="IndexLink"/>
                <w:rtl w:val="true"/>
              </w:rPr>
              <w:tab/>
            </w:r>
            <w:r>
              <w:rPr>
                <w:rStyle w:val="IndexLink"/>
              </w:rPr>
              <w:t>377</w:t>
            </w:r>
          </w:hyperlink>
        </w:p>
        <w:p>
          <w:pPr>
            <w:pStyle w:val="Contents4"/>
            <w:tabs>
              <w:tab w:val="clear" w:pos="8176"/>
              <w:tab w:val="right" w:pos="9026" w:leader="dot"/>
            </w:tabs>
            <w:rPr/>
          </w:pPr>
          <w:hyperlink w:anchor="__RefHeading___Toc1614249_3804643083">
            <w:r>
              <w:rPr>
                <w:webHidden/>
                <w:rStyle w:val="IndexLink"/>
                <w:rtl w:val="true"/>
              </w:rPr>
              <w:t>الأمر الثاني هل أنَّ الصحّة في الواقعيّة أم لا؟</w:t>
            </w:r>
            <w:r>
              <w:rPr>
                <w:rStyle w:val="IndexLink"/>
                <w:rtl w:val="true"/>
              </w:rPr>
              <w:tab/>
            </w:r>
            <w:r>
              <w:rPr>
                <w:rStyle w:val="IndexLink"/>
              </w:rPr>
              <w:t>380</w:t>
            </w:r>
          </w:hyperlink>
        </w:p>
        <w:p>
          <w:pPr>
            <w:pStyle w:val="Contents4"/>
            <w:tabs>
              <w:tab w:val="clear" w:pos="8176"/>
              <w:tab w:val="right" w:pos="9026" w:leader="dot"/>
            </w:tabs>
            <w:rPr/>
          </w:pPr>
          <w:hyperlink w:anchor="__RefHeading___Toc1614251_3804643083">
            <w:r>
              <w:rPr>
                <w:webHidden/>
                <w:rStyle w:val="IndexLink"/>
                <w:rtl w:val="true"/>
              </w:rPr>
              <w:t>الأمر الثالث حول أقسام الشكّ في العمل و أحكامها</w:t>
            </w:r>
            <w:r>
              <w:rPr>
                <w:rStyle w:val="IndexLink"/>
                <w:rtl w:val="true"/>
              </w:rPr>
              <w:tab/>
            </w:r>
            <w:r>
              <w:rPr>
                <w:rStyle w:val="IndexLink"/>
              </w:rPr>
              <w:t>383</w:t>
            </w:r>
          </w:hyperlink>
        </w:p>
        <w:p>
          <w:pPr>
            <w:pStyle w:val="Contents4"/>
            <w:tabs>
              <w:tab w:val="clear" w:pos="8176"/>
              <w:tab w:val="right" w:pos="9026" w:leader="dot"/>
            </w:tabs>
            <w:rPr/>
          </w:pPr>
          <w:hyperlink w:anchor="__RefHeading___Toc1614253_3804643083">
            <w:r>
              <w:rPr>
                <w:webHidden/>
                <w:rStyle w:val="IndexLink"/>
                <w:rtl w:val="true"/>
              </w:rPr>
              <w:t>الأمر الرابع اختصاص القاعدة بما إذا شكّ في تحقّق الشي‌ء صحيحاً</w:t>
            </w:r>
            <w:r>
              <w:rPr>
                <w:rStyle w:val="IndexLink"/>
                <w:rtl w:val="true"/>
              </w:rPr>
              <w:tab/>
            </w:r>
            <w:r>
              <w:rPr>
                <w:rStyle w:val="IndexLink"/>
              </w:rPr>
              <w:t>388</w:t>
            </w:r>
          </w:hyperlink>
        </w:p>
        <w:p>
          <w:pPr>
            <w:pStyle w:val="Contents4"/>
            <w:tabs>
              <w:tab w:val="clear" w:pos="8176"/>
              <w:tab w:val="right" w:pos="9026" w:leader="dot"/>
            </w:tabs>
            <w:rPr/>
          </w:pPr>
          <w:hyperlink w:anchor="__RefHeading___Toc1614255_3804643083">
            <w:r>
              <w:rPr>
                <w:webHidden/>
                <w:rStyle w:val="IndexLink"/>
                <w:rtl w:val="true"/>
              </w:rPr>
              <w:t>الأمر الخامس إنَّ جريان أصالة الصحّة بعد إحراز نفس العمل</w:t>
            </w:r>
            <w:r>
              <w:rPr>
                <w:rStyle w:val="IndexLink"/>
                <w:rtl w:val="true"/>
              </w:rPr>
              <w:tab/>
            </w:r>
            <w:r>
              <w:rPr>
                <w:rStyle w:val="IndexLink"/>
              </w:rPr>
              <w:t>393</w:t>
            </w:r>
          </w:hyperlink>
        </w:p>
        <w:p>
          <w:pPr>
            <w:pStyle w:val="Contents4"/>
            <w:tabs>
              <w:tab w:val="clear" w:pos="8176"/>
              <w:tab w:val="right" w:pos="9026" w:leader="dot"/>
            </w:tabs>
            <w:rPr/>
          </w:pPr>
          <w:hyperlink w:anchor="__RefHeading___Toc1614257_3804643083">
            <w:r>
              <w:rPr>
                <w:webHidden/>
                <w:rStyle w:val="IndexLink"/>
                <w:rtl w:val="true"/>
              </w:rPr>
              <w:t>الأمر السادس عدم حُجّية مُثبتات أصالة الصحّة</w:t>
            </w:r>
            <w:r>
              <w:rPr>
                <w:rStyle w:val="IndexLink"/>
                <w:rtl w:val="true"/>
              </w:rPr>
              <w:tab/>
            </w:r>
            <w:r>
              <w:rPr>
                <w:rStyle w:val="IndexLink"/>
              </w:rPr>
              <w:t>397</w:t>
            </w:r>
          </w:hyperlink>
        </w:p>
        <w:p>
          <w:pPr>
            <w:pStyle w:val="Contents4"/>
            <w:tabs>
              <w:tab w:val="clear" w:pos="8176"/>
              <w:tab w:val="right" w:pos="9026" w:leader="dot"/>
            </w:tabs>
            <w:rPr/>
          </w:pPr>
          <w:hyperlink w:anchor="__RefHeading___Toc1614259_3804643083">
            <w:r>
              <w:rPr>
                <w:webHidden/>
                <w:rStyle w:val="IndexLink"/>
                <w:rtl w:val="true"/>
              </w:rPr>
              <w:t>الأمر السابع موارد تقدّم أصالة الصحّة على الاستصحاب و وجهه</w:t>
            </w:r>
            <w:r>
              <w:rPr>
                <w:rStyle w:val="IndexLink"/>
                <w:rtl w:val="true"/>
              </w:rPr>
              <w:tab/>
            </w:r>
            <w:r>
              <w:rPr>
                <w:rStyle w:val="IndexLink"/>
              </w:rPr>
              <w:t>399</w:t>
            </w:r>
          </w:hyperlink>
        </w:p>
        <w:p>
          <w:pPr>
            <w:pStyle w:val="Contents3"/>
            <w:tabs>
              <w:tab w:val="clear" w:pos="8459"/>
              <w:tab w:val="right" w:pos="9026" w:leader="dot"/>
            </w:tabs>
            <w:rPr/>
          </w:pPr>
          <w:hyperlink w:anchor="__RefHeading___Toc1614261_3804643083">
            <w:r>
              <w:rPr>
                <w:webHidden/>
                <w:rStyle w:val="IndexLink"/>
                <w:rtl w:val="true"/>
              </w:rPr>
              <w:t>المبحث الرابع حال الاستصحاب مع قاعدة القرعة</w:t>
            </w:r>
            <w:r>
              <w:rPr>
                <w:rStyle w:val="IndexLink"/>
                <w:rtl w:val="true"/>
              </w:rPr>
              <w:tab/>
            </w:r>
            <w:r>
              <w:rPr>
                <w:rStyle w:val="IndexLink"/>
              </w:rPr>
              <w:t>402</w:t>
            </w:r>
          </w:hyperlink>
        </w:p>
        <w:p>
          <w:pPr>
            <w:pStyle w:val="Contents4"/>
            <w:tabs>
              <w:tab w:val="clear" w:pos="8176"/>
              <w:tab w:val="right" w:pos="9026" w:leader="dot"/>
            </w:tabs>
            <w:rPr/>
          </w:pPr>
          <w:hyperlink w:anchor="__RefHeading___Toc1614263_3804643083">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1614265_3804643083">
            <w:r>
              <w:rPr>
                <w:webHidden/>
                <w:rStyle w:val="IndexLink"/>
                <w:rtl w:val="true"/>
              </w:rPr>
              <w:t>الأمر الأوّل في ذكر نُبذةٍ من الأخبار الواردة فيها و عدّ بعض موارد ورد فيها النصّ بالخصوص</w:t>
            </w:r>
            <w:r>
              <w:rPr>
                <w:rStyle w:val="IndexLink"/>
                <w:rtl w:val="true"/>
              </w:rPr>
              <w:tab/>
            </w:r>
            <w:r>
              <w:rPr>
                <w:rStyle w:val="IndexLink"/>
              </w:rPr>
              <w:t>403</w:t>
            </w:r>
          </w:hyperlink>
        </w:p>
        <w:p>
          <w:pPr>
            <w:pStyle w:val="Contents4"/>
            <w:tabs>
              <w:tab w:val="clear" w:pos="8176"/>
              <w:tab w:val="right" w:pos="9026" w:leader="dot"/>
            </w:tabs>
            <w:rPr/>
          </w:pPr>
          <w:hyperlink w:anchor="__RefHeading___Toc1614267_3804643083">
            <w:r>
              <w:rPr>
                <w:webHidden/>
                <w:rStyle w:val="IndexLink"/>
                <w:rtl w:val="true"/>
              </w:rPr>
              <w:t>الأمر الثاني القول في التخصيص المستهجن لعمومات القرعة</w:t>
            </w:r>
            <w:r>
              <w:rPr>
                <w:rStyle w:val="IndexLink"/>
                <w:rtl w:val="true"/>
              </w:rPr>
              <w:tab/>
            </w:r>
            <w:r>
              <w:rPr>
                <w:rStyle w:val="IndexLink"/>
              </w:rPr>
              <w:t>410</w:t>
            </w:r>
          </w:hyperlink>
        </w:p>
        <w:p>
          <w:pPr>
            <w:pStyle w:val="Contents4"/>
            <w:tabs>
              <w:tab w:val="clear" w:pos="8176"/>
              <w:tab w:val="right" w:pos="9026" w:leader="dot"/>
            </w:tabs>
            <w:rPr/>
          </w:pPr>
          <w:hyperlink w:anchor="__RefHeading___Toc1614269_3804643083">
            <w:r>
              <w:rPr>
                <w:webHidden/>
                <w:rStyle w:val="IndexLink"/>
                <w:rtl w:val="true"/>
              </w:rPr>
              <w:t>الأمر الثالث هل القرعة أمارة على الواقع أم لا؟</w:t>
            </w:r>
            <w:r>
              <w:rPr>
                <w:rStyle w:val="IndexLink"/>
                <w:rtl w:val="true"/>
              </w:rPr>
              <w:tab/>
            </w:r>
            <w:r>
              <w:rPr>
                <w:rStyle w:val="IndexLink"/>
              </w:rPr>
              <w:t>419</w:t>
            </w:r>
          </w:hyperlink>
        </w:p>
        <w:p>
          <w:pPr>
            <w:pStyle w:val="Contents4"/>
            <w:tabs>
              <w:tab w:val="clear" w:pos="8176"/>
              <w:tab w:val="right" w:pos="9026" w:leader="dot"/>
            </w:tabs>
            <w:rPr/>
          </w:pPr>
          <w:hyperlink w:anchor="__RefHeading___Toc1614271_3804643083">
            <w:r>
              <w:rPr>
                <w:webHidden/>
                <w:rStyle w:val="IndexLink"/>
                <w:rtl w:val="true"/>
              </w:rPr>
              <w:t>الأمر الرابع هل للأدلّة العامّة للقرعة إطلاقٌ من جميع الجهات أم لا؟</w:t>
            </w:r>
            <w:r>
              <w:rPr>
                <w:rStyle w:val="IndexLink"/>
                <w:rtl w:val="true"/>
              </w:rPr>
              <w:tab/>
            </w:r>
            <w:r>
              <w:rPr>
                <w:rStyle w:val="IndexLink"/>
              </w:rPr>
              <w:t>427</w:t>
            </w:r>
          </w:hyperlink>
        </w:p>
        <w:p>
          <w:pPr>
            <w:pStyle w:val="Contents2"/>
            <w:tabs>
              <w:tab w:val="clear" w:pos="8743"/>
              <w:tab w:val="right" w:pos="9026" w:leader="dot"/>
            </w:tabs>
            <w:rPr/>
          </w:pPr>
          <w:hyperlink w:anchor="__RefHeading___Toc1614273_3804643083">
            <w:r>
              <w:rPr>
                <w:webHidden/>
                <w:rStyle w:val="IndexLink"/>
                <w:rtl w:val="true"/>
              </w:rPr>
              <w:t>الفهارس العامّة</w:t>
            </w:r>
            <w:r>
              <w:rPr>
                <w:rStyle w:val="IndexLink"/>
                <w:rtl w:val="true"/>
              </w:rPr>
              <w:tab/>
            </w:r>
            <w:r>
              <w:rPr>
                <w:rStyle w:val="IndexLink"/>
              </w:rPr>
              <w:t>429</w:t>
            </w:r>
          </w:hyperlink>
        </w:p>
        <w:p>
          <w:pPr>
            <w:pStyle w:val="Contents3"/>
            <w:tabs>
              <w:tab w:val="clear" w:pos="8459"/>
              <w:tab w:val="right" w:pos="9026" w:leader="dot"/>
            </w:tabs>
            <w:rPr/>
          </w:pPr>
          <w:hyperlink w:anchor="__RefHeading___Toc1614275_3804643083">
            <w:r>
              <w:rPr>
                <w:webHidden/>
                <w:rStyle w:val="IndexLink"/>
                <w:rtl w:val="true"/>
              </w:rPr>
              <w:t>اشارة</w:t>
            </w:r>
            <w:r>
              <w:rPr>
                <w:rStyle w:val="IndexLink"/>
                <w:rtl w:val="true"/>
              </w:rPr>
              <w:tab/>
            </w:r>
            <w:r>
              <w:rPr>
                <w:rStyle w:val="IndexLink"/>
              </w:rPr>
              <w:t>429</w:t>
            </w:r>
          </w:hyperlink>
        </w:p>
        <w:p>
          <w:pPr>
            <w:pStyle w:val="Contents3"/>
            <w:tabs>
              <w:tab w:val="clear" w:pos="8459"/>
              <w:tab w:val="right" w:pos="9026" w:leader="dot"/>
            </w:tabs>
            <w:rPr/>
          </w:pPr>
          <w:hyperlink w:anchor="__RefHeading___Toc1614277_3804643083">
            <w:r>
              <w:rPr>
                <w:webHidden/>
                <w:rStyle w:val="IndexLink"/>
              </w:rPr>
              <w:t>1</w:t>
            </w:r>
            <w:r>
              <w:rPr>
                <w:rStyle w:val="IndexLink"/>
                <w:rtl w:val="true"/>
              </w:rPr>
              <w:t xml:space="preserve">- </w:t>
            </w:r>
            <w:r>
              <w:rPr>
                <w:rStyle w:val="IndexLink"/>
                <w:rtl w:val="true"/>
              </w:rPr>
              <w:t>فهرست الآيات الكريمة</w:t>
            </w:r>
            <w:r>
              <w:rPr>
                <w:rStyle w:val="IndexLink"/>
                <w:rtl w:val="true"/>
              </w:rPr>
              <w:tab/>
            </w:r>
            <w:r>
              <w:rPr>
                <w:rStyle w:val="IndexLink"/>
              </w:rPr>
              <w:t>430</w:t>
            </w:r>
          </w:hyperlink>
        </w:p>
        <w:p>
          <w:pPr>
            <w:pStyle w:val="Contents3"/>
            <w:tabs>
              <w:tab w:val="clear" w:pos="8459"/>
              <w:tab w:val="right" w:pos="9026" w:leader="dot"/>
            </w:tabs>
            <w:rPr/>
          </w:pPr>
          <w:hyperlink w:anchor="__RefHeading___Toc1614279_3804643083">
            <w:r>
              <w:rPr>
                <w:webHidden/>
                <w:rStyle w:val="IndexLink"/>
              </w:rPr>
              <w:t>2</w:t>
            </w:r>
            <w:r>
              <w:rPr>
                <w:rStyle w:val="IndexLink"/>
                <w:rtl w:val="true"/>
              </w:rPr>
              <w:t xml:space="preserve">- </w:t>
            </w:r>
            <w:r>
              <w:rPr>
                <w:rStyle w:val="IndexLink"/>
                <w:rtl w:val="true"/>
              </w:rPr>
              <w:t>فهرس الأحاديث الشريفة</w:t>
            </w:r>
            <w:r>
              <w:rPr>
                <w:rStyle w:val="IndexLink"/>
                <w:rtl w:val="true"/>
              </w:rPr>
              <w:tab/>
            </w:r>
            <w:r>
              <w:rPr>
                <w:rStyle w:val="IndexLink"/>
              </w:rPr>
              <w:t>432</w:t>
            </w:r>
          </w:hyperlink>
        </w:p>
        <w:p>
          <w:pPr>
            <w:pStyle w:val="Contents3"/>
            <w:tabs>
              <w:tab w:val="clear" w:pos="8459"/>
              <w:tab w:val="right" w:pos="9026" w:leader="dot"/>
            </w:tabs>
            <w:rPr/>
          </w:pPr>
          <w:hyperlink w:anchor="__RefHeading___Toc1614281_3804643083">
            <w:r>
              <w:rPr>
                <w:webHidden/>
                <w:rStyle w:val="IndexLink"/>
              </w:rPr>
              <w:t>3</w:t>
            </w:r>
            <w:r>
              <w:rPr>
                <w:rStyle w:val="IndexLink"/>
                <w:rtl w:val="true"/>
              </w:rPr>
              <w:t xml:space="preserve">- </w:t>
            </w:r>
            <w:r>
              <w:rPr>
                <w:rStyle w:val="IndexLink"/>
                <w:rtl w:val="true"/>
              </w:rPr>
              <w:t xml:space="preserve">فهرس أسماء الأنبياء و الأئمّة المعصومين </w:t>
            </w:r>
            <w:r>
              <w:rPr>
                <w:rStyle w:val="IndexLink"/>
                <w:rtl w:val="true"/>
              </w:rPr>
              <w:t>(</w:t>
            </w:r>
            <w:r>
              <w:rPr>
                <w:rStyle w:val="IndexLink"/>
                <w:rtl w:val="true"/>
              </w:rPr>
              <w:t>عليهم السلام</w:t>
            </w:r>
            <w:r>
              <w:rPr>
                <w:rStyle w:val="IndexLink"/>
                <w:rtl w:val="true"/>
              </w:rPr>
              <w:t>)</w:t>
              <w:tab/>
            </w:r>
            <w:r>
              <w:rPr>
                <w:rStyle w:val="IndexLink"/>
              </w:rPr>
              <w:t>438</w:t>
            </w:r>
          </w:hyperlink>
        </w:p>
        <w:p>
          <w:pPr>
            <w:pStyle w:val="Contents3"/>
            <w:tabs>
              <w:tab w:val="clear" w:pos="8459"/>
              <w:tab w:val="right" w:pos="9026" w:leader="dot"/>
            </w:tabs>
            <w:rPr/>
          </w:pPr>
          <w:hyperlink w:anchor="__RefHeading___Toc1614283_3804643083">
            <w:r>
              <w:rPr>
                <w:webHidden/>
                <w:rStyle w:val="IndexLink"/>
              </w:rPr>
              <w:t>4</w:t>
            </w:r>
            <w:r>
              <w:rPr>
                <w:rStyle w:val="IndexLink"/>
                <w:rtl w:val="true"/>
              </w:rPr>
              <w:t xml:space="preserve">- </w:t>
            </w:r>
            <w:r>
              <w:rPr>
                <w:rStyle w:val="IndexLink"/>
                <w:rtl w:val="true"/>
              </w:rPr>
              <w:t>فهرس الأعلام</w:t>
            </w:r>
            <w:r>
              <w:rPr>
                <w:rStyle w:val="IndexLink"/>
                <w:rtl w:val="true"/>
              </w:rPr>
              <w:tab/>
            </w:r>
            <w:r>
              <w:rPr>
                <w:rStyle w:val="IndexLink"/>
              </w:rPr>
              <w:t>440</w:t>
            </w:r>
          </w:hyperlink>
        </w:p>
        <w:p>
          <w:pPr>
            <w:pStyle w:val="Contents3"/>
            <w:tabs>
              <w:tab w:val="clear" w:pos="8459"/>
              <w:tab w:val="right" w:pos="9026" w:leader="dot"/>
            </w:tabs>
            <w:rPr/>
          </w:pPr>
          <w:hyperlink w:anchor="__RefHeading___Toc1614285_3804643083">
            <w:r>
              <w:rPr>
                <w:webHidden/>
                <w:rStyle w:val="IndexLink"/>
              </w:rPr>
              <w:t>5</w:t>
            </w:r>
            <w:r>
              <w:rPr>
                <w:rStyle w:val="IndexLink"/>
                <w:rtl w:val="true"/>
              </w:rPr>
              <w:t xml:space="preserve">- </w:t>
            </w:r>
            <w:r>
              <w:rPr>
                <w:rStyle w:val="IndexLink"/>
                <w:rtl w:val="true"/>
              </w:rPr>
              <w:t>فهرس الكتب</w:t>
            </w:r>
            <w:r>
              <w:rPr>
                <w:rStyle w:val="IndexLink"/>
                <w:rtl w:val="true"/>
              </w:rPr>
              <w:tab/>
            </w:r>
            <w:r>
              <w:rPr>
                <w:rStyle w:val="IndexLink"/>
              </w:rPr>
              <w:t>444</w:t>
            </w:r>
          </w:hyperlink>
        </w:p>
        <w:p>
          <w:pPr>
            <w:pStyle w:val="Contents3"/>
            <w:tabs>
              <w:tab w:val="clear" w:pos="8459"/>
              <w:tab w:val="right" w:pos="9026" w:leader="dot"/>
            </w:tabs>
            <w:rPr/>
          </w:pPr>
          <w:hyperlink w:anchor="__RefHeading___Toc1614287_3804643083">
            <w:r>
              <w:rPr>
                <w:webHidden/>
                <w:rStyle w:val="IndexLink"/>
              </w:rPr>
              <w:t>6</w:t>
            </w:r>
            <w:r>
              <w:rPr>
                <w:rStyle w:val="IndexLink"/>
                <w:rtl w:val="true"/>
              </w:rPr>
              <w:t xml:space="preserve">- </w:t>
            </w:r>
            <w:r>
              <w:rPr>
                <w:rStyle w:val="IndexLink"/>
                <w:rtl w:val="true"/>
              </w:rPr>
              <w:t>مصادر التحقيق</w:t>
            </w:r>
            <w:r>
              <w:rPr>
                <w:rStyle w:val="IndexLink"/>
                <w:rtl w:val="true"/>
              </w:rPr>
              <w:tab/>
            </w:r>
            <w:r>
              <w:rPr>
                <w:rStyle w:val="IndexLink"/>
              </w:rPr>
              <w:t>446</w:t>
            </w:r>
          </w:hyperlink>
        </w:p>
        <w:p>
          <w:pPr>
            <w:pStyle w:val="Contents3"/>
            <w:tabs>
              <w:tab w:val="clear" w:pos="8459"/>
              <w:tab w:val="right" w:pos="9026" w:leader="dot"/>
            </w:tabs>
            <w:rPr/>
          </w:pPr>
          <w:hyperlink w:anchor="__RefHeading___Toc1614289_3804643083">
            <w:r>
              <w:rPr>
                <w:webHidden/>
                <w:rStyle w:val="IndexLink"/>
              </w:rPr>
              <w:t>7</w:t>
            </w:r>
            <w:r>
              <w:rPr>
                <w:rStyle w:val="IndexLink"/>
                <w:rtl w:val="true"/>
              </w:rPr>
              <w:t xml:space="preserve">- </w:t>
            </w:r>
            <w:r>
              <w:rPr>
                <w:rStyle w:val="IndexLink"/>
                <w:rtl w:val="true"/>
              </w:rPr>
              <w:t>فهرس الموضوعات</w:t>
            </w:r>
            <w:r>
              <w:rPr>
                <w:rStyle w:val="IndexLink"/>
                <w:rtl w:val="true"/>
              </w:rPr>
              <w:tab/>
            </w:r>
            <w:r>
              <w:rPr>
                <w:rStyle w:val="IndexLink"/>
              </w:rPr>
              <w:t>465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43_12535"/>
      <w:bookmarkStart w:id="1" w:name="pg2243_12535"/>
      <w:bookmarkEnd w:id="1"/>
    </w:p>
    <w:p>
      <w:pPr>
        <w:pStyle w:val="Heading2"/>
        <w:numPr>
          <w:ilvl w:val="1"/>
          <w:numId w:val="1"/>
        </w:numPr>
        <w:rPr/>
      </w:pPr>
      <w:bookmarkStart w:id="2" w:name="pg2243_12535"/>
      <w:bookmarkStart w:id="3" w:name="__RefHeading___Toc1613881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الامام الخميني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تنظيم و نشر آثار امام 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 </w:t>
      </w:r>
      <w:r>
        <w:rPr>
          <w:rFonts w:ascii="Amiri" w:hAnsi="Amiri" w:eastAsia="Amiri" w:cs="Amiri"/>
          <w:color w:val="111111"/>
          <w:sz w:val="28"/>
          <w:sz w:val="28"/>
          <w:szCs w:val="28"/>
          <w:lang w:bidi="ar-SA"/>
        </w:rPr>
        <w:t>۴۵۶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همچنينن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فقه شيعه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موسسه تنظيم و نشر آثار 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۱۶۱</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3883_3804643083"/>
      <w:bookmarkStart w:id="6" w:name="_Toc2"/>
      <w:bookmarkEnd w:id="5"/>
      <w:r>
        <w:rPr>
          <w:rtl w:val="true"/>
        </w:rPr>
        <w:t>اشارة</w:t>
      </w:r>
      <w:bookmarkStart w:id="7" w:name="pg2243_12545"/>
      <w:bookmarkEnd w:id="6"/>
    </w:p>
    <w:p>
      <w:pPr>
        <w:pStyle w:val="Heading2"/>
        <w:numPr>
          <w:ilvl w:val="1"/>
          <w:numId w:val="1"/>
        </w:numPr>
        <w:rPr/>
      </w:pPr>
      <w:bookmarkStart w:id="8" w:name="__RefHeading___Toc1613885_3804643083"/>
      <w:bookmarkStart w:id="9" w:name="_Toc3"/>
      <w:bookmarkEnd w:id="7"/>
      <w:bookmarkEnd w:id="8"/>
      <w:r>
        <w:rPr>
          <w:rtl w:val="true"/>
        </w:rPr>
        <w:t>هوية الكتاب</w:t>
      </w:r>
      <w:bookmarkEnd w:id="9"/>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الفقيه الاصولي، الاستاد الاكبر، العلامة المجدد</w:t>
      </w:r>
    </w:p>
    <w:p>
      <w:pPr>
        <w:pStyle w:val="BookText"/>
        <w:rPr/>
      </w:pPr>
      <w:r>
        <w:rPr>
          <w:rFonts w:ascii="Amiri" w:hAnsi="Amiri" w:eastAsia="Amiri" w:cs="Amiri"/>
          <w:color w:val="111111"/>
          <w:sz w:val="28"/>
          <w:sz w:val="28"/>
          <w:szCs w:val="28"/>
          <w:rtl w:val="true"/>
          <w:lang w:bidi="ar-SA"/>
        </w:rPr>
        <w:t>آية اللَّه العظمى السيد روح اللَّه الموسوي</w:t>
      </w:r>
    </w:p>
    <w:p>
      <w:pPr>
        <w:pStyle w:val="BookText"/>
        <w:rPr/>
      </w:pPr>
      <w:r>
        <w:rPr>
          <w:rFonts w:ascii="Amiri" w:hAnsi="Amiri" w:eastAsia="Amiri" w:cs="Amiri"/>
          <w:color w:val="111111"/>
          <w:sz w:val="28"/>
          <w:sz w:val="28"/>
          <w:szCs w:val="28"/>
          <w:rtl w:val="true"/>
          <w:lang w:bidi="ar-SA"/>
        </w:rPr>
        <w:t>الامام الخميني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تنظيم و نشر آثار الامام الخمينى قدس سره</w:t>
      </w:r>
      <w:bookmarkStart w:id="10" w:name="pg2243_12547"/>
    </w:p>
    <w:p>
      <w:pPr>
        <w:pStyle w:val="Heading2"/>
        <w:numPr>
          <w:ilvl w:val="1"/>
          <w:numId w:val="1"/>
        </w:numPr>
        <w:rPr/>
      </w:pPr>
      <w:bookmarkStart w:id="11" w:name="__RefHeading___Toc1613887_3804643083"/>
      <w:bookmarkStart w:id="12" w:name="_Toc4"/>
      <w:bookmarkEnd w:id="10"/>
      <w:bookmarkEnd w:id="11"/>
      <w:r>
        <w:rPr>
          <w:rtl w:val="true"/>
        </w:rPr>
        <w:t>مقدّمة التحقيق</w:t>
      </w:r>
      <w:bookmarkEnd w:id="1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613889_380464308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w:t>
      </w:r>
    </w:p>
    <w:p>
      <w:pPr>
        <w:pStyle w:val="BookText"/>
        <w:rPr/>
      </w:pPr>
      <w:r>
        <w:rPr>
          <w:rFonts w:ascii="Amiri" w:hAnsi="Amiri" w:eastAsia="Amiri" w:cs="Amiri"/>
          <w:color w:val="111111"/>
          <w:sz w:val="28"/>
          <w:sz w:val="28"/>
          <w:szCs w:val="28"/>
          <w:rtl w:val="true"/>
          <w:lang w:bidi="ar-SA"/>
        </w:rPr>
        <w:t>الأنبياء و المُرسلين محمّدٍ و آله الطيبين الطاهرين</w:t>
      </w:r>
    </w:p>
    <w:p>
      <w:pPr>
        <w:pStyle w:val="BookText"/>
        <w:rPr/>
      </w:pPr>
      <w:r>
        <w:rPr>
          <w:rFonts w:ascii="Amiri" w:hAnsi="Amiri" w:eastAsia="Amiri" w:cs="Amiri"/>
          <w:color w:val="111111"/>
          <w:sz w:val="28"/>
          <w:sz w:val="28"/>
          <w:szCs w:val="28"/>
          <w:rtl w:val="true"/>
          <w:lang w:bidi="ar-SA"/>
        </w:rPr>
        <w:t>و بعد، فالاستصحاب أحد أوتاد و ركائز البناء الفقهي الأصيل، و دعامة هامة من دعائمه، جعله الشارع المُقدّس طريقاً و باباً من طُرق و أبواب العلم التي يُحدد العالم الفقيه وظيفته العملية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بدأ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العلوم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بسيطاً في مستواه و حجمه و كيفيته، ثمّ تطوّر و توسّع بفعل العوامل الزمانية و مُتطلباتها المُتكثرة و المُتجددة، حتى بلغ القمة و الذروة بأيدي العلماء المُبتكرين المجددين من ناحية الدقة و العمق و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بين الاصوليين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حال الشرع؛ أي استصحاب الحكم الشرعي الثابت بدليلٍ سمعي من كتاب أو سنّة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حال الإجماع؛ و المُراد به استصحاب الحكم الثابت</w:t>
      </w:r>
    </w:p>
    <w:p>
      <w:pPr>
        <w:pStyle w:val="BookText"/>
        <w:rPr/>
      </w:pPr>
      <w:r>
        <w:rPr>
          <w:rFonts w:ascii="Amiri" w:hAnsi="Amiri" w:eastAsia="Amiri" w:cs="Amiri"/>
          <w:color w:val="111111"/>
          <w:sz w:val="28"/>
          <w:sz w:val="28"/>
          <w:szCs w:val="28"/>
          <w:rtl w:val="true"/>
          <w:lang w:bidi="ar-SA"/>
        </w:rPr>
        <w:t>بالإجماع، و قد مثَّل له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بالمُتيمم إذا وجد الماء في أثناء الصلاة، فإنَّه يجب عليه بالإجماع المُضي فيها قبل وجدان الماء، فيستصحب هذا الحكم حال الوجدان أيضاً، إلى أن يدل على أنَّ رؤية الماء قاطع للصلاة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قد يُطلق أيضاً استصحاب الحال و يراد به الأعم من استصحاب حال الإجماع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يُسمّى باستصحاب النفي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حُكم العقل بالبراءة الأصلية، كاستصحاب البالغ لبراءته التي كانت ثابتة له حال 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المعروف بين جمع من الاصوليين، خلافاً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 فإنَّه عمَّمه لكلِّ حكمٍ ثبت بالعقل، سواءً كان حكماً تكليفياً أم وضعياً، حتى استصحاب عدم الملكية الثابت قبل تحقق موضوعها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حال اللغة فيما لو ثبت كون اللفظ حقيقة في معنى، و شك في حصول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القهقريّ أو القهقرائي، أو المقلوب، و هو أصل عُقلائي خاص بباب اللغة، مثاله إثبات اتحاد المعنى الذي نفهمه من اللفظ في زماننا، مع ما يفهمه المُعاصرون لزمان صدور النص</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المُناسب هنا و المعروف بين المتأخرين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المعنى المختلف فيه الذي قد عرّفه الاصوليّون بتعاريف مختلفة و عبائر شتّى،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إبقاء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الحكم في الزمان الثاني تعويلًا على ثبوته في الزمان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المسبوق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الإمام قدس سره عدل عن طريقة القوم و صحّح التعاريف بناءً على المباني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بأنَّه أصل عملي و يكون وظيفة عملية في مقام الشك، يجب تعريفه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إبقاء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له إطلاق الحجّة عليه لعدم كونه ناظراً إلى الحكم الواقعي و لا حجة عليه بل الاستصحاب هذا من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بأنَّه حجة على الواقع و اعتبره الشارع بجعل اليقين طريقاً إلى متعلقه في زمان الشك، فيعرّفه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السابق على الشك في البقاء الكاشف عن متعلقه في زمن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إنَّ اعتباره ليس لأجل الطريقية عن الواقع بل لأجل التحفظ عليه، وجب تعريفه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الملحوق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بقاء الشي‌ء المسبوق باليقين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كلمات بعض من الخلط بين التعاريف و المباني غير وارد مورد التحقيق و التدقيق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ذكره صاحب الكفاية قدس سره من كون التعريف واحداً على جميع المباني غير قابل للتصديق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في الاستصحاب و تطرّق لهذا الموضوع كلُّ من صنّف في علم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الأعم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فاسهبوا فيه تدقيقاً و تحقيقاً، و حققوا تقدّماً في هذا السبيل و بالخصوص على يد الروّاد النوابغ، فخلَّفوا تراثاً ضخماً، و منجزات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نريد تقريره الآن هو إلقاء نظرة خاطفة سريعة حول أعيان الأعلام و مشاهير العلماء و على أهم مُنجزاتهم في ذلك المضمار حسب التسلسل الزمني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من وصلنا قوله في حُجية الاستصحاب هو رئيس الملّة و فخرها و عمادها الشيخ أبو عبد اللَّه محمَّد بن محمَّد بن النعمان المفيد العُكبري البغدادي رضوان اللَّه تعالى عليه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قال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الحكم باستصحاب الحال واجب؛ لأنَّ حكم الحال ثابت بيقين، و ما ثبت</w:t>
      </w:r>
    </w:p>
    <w:p>
      <w:pPr>
        <w:pStyle w:val="BookText"/>
        <w:rPr/>
      </w:pPr>
      <w:r>
        <w:rPr>
          <w:rFonts w:ascii="Amiri" w:hAnsi="Amiri" w:eastAsia="Amiri" w:cs="Amiri"/>
          <w:color w:val="111111"/>
          <w:sz w:val="28"/>
          <w:sz w:val="28"/>
          <w:szCs w:val="28"/>
          <w:rtl w:val="true"/>
          <w:lang w:bidi="ar-SA"/>
        </w:rPr>
        <w:t xml:space="preserve">فلن يجوز الانتقال عنه إلّا بواضح الدليل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تطرَّق لموضوع الاستصحاب أيضاً علم الهدى الشريف المرتضى السيد أبو القاسم علي بن الشريف أبي أحمد الحسين نقيب الطالبيين الموسوي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اصول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شيخ الطائفة الإمام الكبير الشيخ أبو جعفر محمّد بن الحسن بن علي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الحافل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السيد عز الدين أبو المكارم حمزة بن علي بن زهرة الحسيني الحلبي المتوفى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 إلى علمي الاصول و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المحقق الحِلّي الشيخ نجم الدين أبو القاسم جعفر بن الحسن بن يحيى بن سعيد الهُذلي 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الحلّي الشيخ جمال الدين أبو منصور الحسن ابن الشيخ سديد الدين يوسف بن زين الدين علي بن المطهر الأسدي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كتبه الاصولية كافة و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 إلى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الشهيد الأوّل الشيخ شمس الدين أبو عبد اللَّه محمّد بن الشيخ جمال الدين مكي ابن الشيخ شمس الدين محمَّد النبطي العاملي الجزيني المُستشهد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الشهيد الثاني الشيخ زين الدين بن علي بن أحمد الجبعي العاملي المُستشهد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العلّامة الشيخ جمال الدين أبو منصور الحسن ابن الشهيد الثاني الشيخ زين الدين العاملي المتوفى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 و ملاذ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 الأئمّة الأعلام الشيخ بهاء الدين محمَّد ابن الشيخ عز الدين الحسين الحارثي الهمداني العاملي الجبعي المتوفى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المولى الشيخ عبد اللَّه بن محمَّد البشروي الخراساني المعروف بالفاضل التوني المتوفى سنة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 في اصول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العلّامة الكبير المحقق الميرزا أبو القاسم الگيلاني القمي المتوفى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كتابه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القوانين المحكمة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جاء دور رائد المدرسة الاصولية و المؤسس لأرقى مرحلة من مراحلها الفكرية العلمية أعني الشيخ الأعظم المرتضى ابن الشيخ محمّد أمين الأنصاري المتوفى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تمكّن فيه من إحداث قفزة نوعية فريدة في المسائل الاصولية التي تعرّض لها و بحثها و منها موضوع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هذا العرض لا بأس بتقديم فهرست مختصر يجمع أسماء أهم الكتب و الرسائل و التعليقات التي دوّنها المتأخرون حول موضوع الاستصحاب بالخصوص، و إلّا فإنَّ كلّ من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الاصول لا بُدّ و أنَّه طرق ذلك الباب و تعرّض له بنحوٍ 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فنذكر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 و إثبات حجيته و 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للُاستاذ الأكبر المحقق المُجدد الشيخ محمَّد باقر بن محمَّد أكمل البهبهاني قدس سره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 و إثبات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الكبير السيد المجاهد الأمير محمّد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الأمير السيد علي الطباطبائي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على موضوع الاستصحاب من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الأعظم الأنصاري قدس سره</w:t>
      </w:r>
      <w:r>
        <w:rPr>
          <w:rFonts w:eastAsia="Amiri" w:cs="Amiri" w:ascii="Amiri" w:hAnsi="Amiri"/>
          <w:color w:val="111111"/>
          <w:sz w:val="28"/>
          <w:szCs w:val="28"/>
          <w:rtl w:val="true"/>
          <w:lang w:bidi="ar-SA"/>
        </w:rPr>
        <w:t>.</w:t>
      </w:r>
      <w:bookmarkStart w:id="15" w:name="pg2243_12560"/>
    </w:p>
    <w:p>
      <w:pPr>
        <w:pStyle w:val="BookText"/>
        <w:rPr/>
      </w:pPr>
      <w:bookmarkEnd w:id="1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ميرزا أبو القاسم ابن ميرزا محمَّد علي النوري الطهراني الشهير بكلانتري المتوفى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هذا الرجل من أبرز و أشهر تلاميذ الشيخ الأعظم المرتضى الأنصاري قدّس سرهما و هو جدّ الشيخ ميرزا محمَّد الثقفي أبي زوجة الإمام الراحل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الفقيه الكبير السيد محمّد كاظم بن عبد العظيم الطباطبائي اليزدي النجفي المتوفى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الشهيد السعيد السيد حسن المدرس المستشهد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613891_3804643083"/>
      <w:bookmarkStart w:id="17" w:name="_Toc6"/>
      <w:bookmarkEnd w:id="16"/>
      <w:r>
        <w:rPr>
          <w:rtl w:val="true"/>
        </w:rPr>
        <w:t>حول الكتاب و مؤلفه سماحة الإمام رضوان اللَّه عليه</w:t>
      </w:r>
      <w:r>
        <w:rPr>
          <w:rtl w:val="true"/>
        </w:rPr>
        <w:t>:</w:t>
      </w:r>
      <w:bookmarkEnd w:id="17"/>
    </w:p>
    <w:p>
      <w:pPr>
        <w:pStyle w:val="BookText"/>
        <w:rPr/>
      </w:pPr>
      <w:r>
        <w:rPr>
          <w:rFonts w:ascii="Amiri" w:hAnsi="Amiri" w:eastAsia="Amiri" w:cs="Amiri"/>
          <w:color w:val="111111"/>
          <w:sz w:val="28"/>
          <w:sz w:val="28"/>
          <w:szCs w:val="28"/>
          <w:rtl w:val="true"/>
          <w:lang w:bidi="ar-SA"/>
        </w:rPr>
        <w:t>إنَّ أوّل ما يستوقف الباحث في هذه الرسالة الشريفة هو جمع مصنفه العظيم بين الدقتين العقلية و العُرفية، و إعمال كل منهما في موضوعها المناسب لها، و هذه مزية فريدة في نوعها لم يتصف بها إلّا الأوحدي من المحققين، ذلك أنَّ من طبيعة البحوث العقلية أن تصهر ذهنية صاحبها في بوتقة الدقّ، فلا يعود يرى إلّا زاويتها، و هو بهذا يبتعد عن سليقته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فإنّنا نرى منهجية الإمام قدس سره في هذا الكتاب و هو يغوص في بحث عقلي دقيق عند تحقيقه القضايا السالبة و مناط الصدق و الكذب فيها، و ما يكاد يفرغ منها حتى يسبغ عليها من عقليته الفلسفية الجبارة قوالب مُحكمة من الحكمة المُتعالية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بنفس هذه الروح و السليقة المُترعة بالحكمة يرد على المحقق الأصفهاني قدس سره القائل بأنَّ مفهوم النصف المُشاع موجود بالقوة، و لكنّه مع ذلك يعود إلى سليقته العرفية القويمة فيبني على أنَّ الملكية المُشاعة أمرٌ اعتباري عُقلائي غير قائمٍ على</w:t>
      </w:r>
    </w:p>
    <w:p>
      <w:pPr>
        <w:pStyle w:val="BookText"/>
        <w:rPr/>
      </w:pPr>
      <w:r>
        <w:rPr>
          <w:rFonts w:ascii="Amiri" w:hAnsi="Amiri" w:eastAsia="Amiri" w:cs="Amiri"/>
          <w:color w:val="111111"/>
          <w:sz w:val="28"/>
          <w:sz w:val="28"/>
          <w:szCs w:val="28"/>
          <w:rtl w:val="true"/>
          <w:lang w:bidi="ar-SA"/>
        </w:rPr>
        <w:t>المسائل الفلسفية، كما أنَّ الأشياء إنّما تتصف بالربع و النصف في محيط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دقته في المسائل العقلية ما أفاده في جريان الاستصحاب في الأحكام العقلية و الأحكام الشرعية المستكشفة عن العقلية حيث منعهما الشيخ الأعظم الأنصاري مستدلّاً بأنَّ العقل مدرك لمناطات أحكامه و لا يطرأ الشك في موضوع حكمه و استشكل عليه جلّ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الإمام قدّس سرّه بعد دفع الإشكالات الواردة على كلام الشيخ، فصّل بين حكم العقل و بين حكم الشرع المستكشف من العقل، فمنع من جريان الاستصحاب في الأوّل و صحّح في الثاني لأنَّه يمكن أن يشك في صدق عنوان قبيح على الموضوع فيشك في بقاء الحكم الشرعي فيستصحب الحكم مثل ما إذا غرق مؤمن فيحكم العقل و كذا الشرع بوجوب إنقاذه و حسنه، فإذا شك في صدق عنوان السابّ للَّه على الغريق فلا يجوز استصحاب حكم العقل للشك في حسنه لكن حكم الشرع بوجوب إنقاذه باقٍ بحكم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الموارد ما أفاده في انحصار أدلّة الاستصحاب في الأخبار و كونه حكماً شرعيّاً تعبّدياً من قبل الشرع أمّا كون الاستصحاب إمضاءً للسيرة العقلائية مطابقاً لما عند العقلاء، فأنكره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بنائهم من باب حصول الوثوق و الاطمئنان لهم ببقاء ما كان، لندرة وجود الرافع للشي‌ء الثابت مع وجود مقتضيه؛ لكنّ الاستصحاب المذكور في الأخبار المدّعى ثبوته و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بكونه مختصاً بالشك في المقتضي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عند العقلاء؛ لأنَّ الأخبار واردة في بيان حكم تعبّدي و هو وجوب العمل على اليقين السابق و ليس لسان أدلّته الإحالة إلى حكم معلوم مرتكز لدى العقلاء</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أفاده في توضيح الأحكام الوضعية و كيفية جعلها و جعل السببية و العلل التكوينية و التشريعية و الخلط الواقع في كلام بعض المتأخرين من تشبيه</w:t>
      </w:r>
    </w:p>
    <w:p>
      <w:pPr>
        <w:pStyle w:val="BookText"/>
        <w:rPr/>
      </w:pPr>
      <w:r>
        <w:rPr>
          <w:rFonts w:ascii="Amiri" w:hAnsi="Amiri" w:eastAsia="Amiri" w:cs="Amiri"/>
          <w:color w:val="111111"/>
          <w:sz w:val="28"/>
          <w:sz w:val="28"/>
          <w:szCs w:val="28"/>
          <w:rtl w:val="true"/>
          <w:lang w:bidi="ar-SA"/>
        </w:rPr>
        <w:t xml:space="preserve">التشريع بالتكوين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للإمام قدس سره في تفصيل الحق عن الباطل رسالة مستقلة أيضاً غير ما ذكره هنا، ردّاً لكلام العلّامة الحائري غير مطبوع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أقسام الأحكام الوضعية باعتبار أنحاء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يكون مجعولًا بتبع التكليف كالجزئية، و منها ما يكون مجعولًا بتبع اشتراط التكليف به مثل اشتراط الاستطاعة للحجّ، و منها المجعول أصالة و هو أيضاً على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 ابتداءً كالخلافة و القضاوة و السببية، و المجعول عقيب شي‌ء اعتباري كحق السبق و التحجير، و المجعول عقيب شي‌ء تكويني مثل الحدود الشرعية و القصاص و ضمان الإتلاف و الملكية عقيب الإحياء و الحيازة، و المجعول عقيب أمر تشريعي قانوني نحو العهدة عقيب عقد الضمان و من ذلك العقود و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الموارد التي تظهر دقته العقلية و استظهاره العرفي ما ذكره في جريان استصحاب الزمان و الزماني في الثالث من التنبيهات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جريان الاستصحاب في الزمان و الحركة فلصدق البقاء عقلًا و عرفاً، أمّا العقل فما هو المقرّر عنده وجود الحركة القطعية و وجوده واحد متصرّم متجدّد فكلّ من الحركة و الزمان موجود واحد ذو هوية شخصية و أمّا عند العرف فظاهر لأنّهم يرون اليوم باقياً إلى الليل و الحركة إلى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يجري في الزمانيات مع أنَّ من الزمانيات ما تكون وحدته بنحوٍ من الاعتبار مثل التكلم و الدليل عليه أيضاً صدق البقاء عند العرف</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الإمام قدس سره تبعاً للمتقدمين عنون الشبهة العلّامة النراقي ذيل التنبيه و هو أنَّ استصحاب وجوب الشي‌ء بعد زمان معارض لاستصحاب عدم وجوب ذلك الشي‌ء المتقيد بذلك الزمان فلعلّ التقيد بالزمان جزء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التعرض لكلام الشيخ الأعظم و المحقق الخراساني و المحقق النائيني و العلّامة الحائري رحمهم اللَّه و الجواب</w:t>
      </w:r>
    </w:p>
    <w:p>
      <w:pPr>
        <w:pStyle w:val="BookText"/>
        <w:rPr/>
      </w:pPr>
      <w:r>
        <w:rPr>
          <w:rFonts w:ascii="Amiri" w:hAnsi="Amiri" w:eastAsia="Amiri" w:cs="Amiri"/>
          <w:color w:val="111111"/>
          <w:sz w:val="28"/>
          <w:sz w:val="28"/>
          <w:szCs w:val="28"/>
          <w:rtl w:val="true"/>
          <w:lang w:bidi="ar-SA"/>
        </w:rPr>
        <w:t>عن إشكالاتهم على النراقي، أورد إشكالًا مستقلًا عليه و هو أنَّ الموضوع إن كان هو الشي‌ء فلا يجري استصحاب عدم وجوبه الأزلي لأنَّ اليقين السابق قد زال قطعاً لوجوب الشي‌ء قبل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الشي‌ء المتقيد بالزمان فلا يجري استصحاب وجوب الشي‌ء لعدم يقين سابق و حيث لا منافاة بين وجوب الشي‌ء و عدم وجوبه المتقيد بالزمان فيجتمع الأمران و 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جرى قدس سره على هذه الوتيرة في الرد على الشيخين الأنصاري و الحائري رحمهما اللَّه تعالى فأفاد أنَّ التقدّم الطبعي و الرتبي خارجان عمّا يفهمه العرف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يفهمون منه التقدّم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نظراً لتأصّل الحس العرفي في نفسه الشريفة لم يجد بُدّاً من أن يقول بأنَّ العرف الدقيق كما يكون مرجعاً في تحديد المفاهيم كذا فهو مرجع في تشخيص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إلى تحقيقه في الجواب عمّا اشتهر من عدم جواز التمسك بعمومات أدلّة القرعة إلّا في موارد عمل الأصحاب، بدعوى كثرة المخصصات المُستهجنة الواردة عليها، حيث أفاد أنَّ مصب عمومات القرعة هو التنازع و تزاحم الحقوق، فيكون الأصحاب عاملين بعمومها فأين التخصص الكثير المُستهجن؟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نستطيع تقديمه في هذا المختصر ممّا لاح لنا من نظرات استجليناها، و إلّا فالقارئ الفطن اللبيب يتمكن من أن يستشف ملامح الفكر المُبدع الدّفاق بالثراء العلمي و ما احتواه من إبداعات و مواهب غنية كل الغنى في كلِّ ما يرجع إلى الموضوع</w:t>
      </w:r>
      <w:r>
        <w:rPr>
          <w:rFonts w:eastAsia="Amiri" w:cs="Amiri" w:ascii="Amiri" w:hAnsi="Amiri"/>
          <w:color w:val="111111"/>
          <w:sz w:val="28"/>
          <w:szCs w:val="28"/>
          <w:rtl w:val="true"/>
          <w:lang w:bidi="ar-SA"/>
        </w:rPr>
        <w:t>.</w:t>
      </w:r>
      <w:bookmarkStart w:id="18" w:name="pg2243_12569"/>
    </w:p>
    <w:p>
      <w:pPr>
        <w:pStyle w:val="Heading3"/>
        <w:numPr>
          <w:ilvl w:val="2"/>
          <w:numId w:val="1"/>
        </w:numPr>
        <w:rPr/>
      </w:pPr>
      <w:bookmarkStart w:id="19" w:name="__RefHeading___Toc1613893_3804643083"/>
      <w:bookmarkStart w:id="20" w:name="_Toc7"/>
      <w:bookmarkEnd w:id="18"/>
      <w:bookmarkEnd w:id="19"/>
      <w:r>
        <w:rPr>
          <w:rtl w:val="true"/>
        </w:rPr>
        <w:t>منهج التحقيق</w:t>
      </w:r>
      <w:r>
        <w:rPr>
          <w:rtl w:val="true"/>
        </w:rPr>
        <w:t>:</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النسخة المطبوعة مع الأصل الذي هو بخط السيد الإمام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تقطيع النص و ضبطه، و وضع علامات الترقيم المتعارفة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استفدنا من هذه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بالعضادتين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لإضافة يقتضيه سياق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لإضافة من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موضع الآيات القرآنية الشريفة و ذلك بذكر اسم السورة و رقم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الأحاديث الشريفة من مظانّها الرئيسية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الأقوال و ما يحوم حولها و يجري مجراها من دعاوى أو توهمات أو إشكالات و غير ذلك، و عزوها إلى قائليها بذكر مصادرها و منابعها الأصلية قدر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الأعلام و الرواة المذكورين في أصل الكتاب بصورة مختصرة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فهارس فنية عامّة توفّر الوقت و تسهل من أمر الاستفادة من مطالب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يفوتنا هنا أن نسجل شكراً جزيلًا و ثناءً وافراً لسماحة آية اللَّه الشيخ مجتبى الطهراني حفظه اللَّه تعالى لتصحيح الكتاب و تحقيقه في طبعته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كثيراً، و صلاته و سلامه على محمَّدٍ و آله بكرة و أصيلًا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تنظيم و نشر آثار الإمام الخميني قدس سره</w:t>
      </w:r>
    </w:p>
    <w:p>
      <w:pPr>
        <w:pStyle w:val="BookText"/>
        <w:rPr/>
      </w:pPr>
      <w:r>
        <w:rPr>
          <w:rFonts w:ascii="Amiri" w:hAnsi="Amiri" w:eastAsia="Amiri" w:cs="Amiri"/>
          <w:color w:val="111111"/>
          <w:sz w:val="28"/>
          <w:sz w:val="28"/>
          <w:szCs w:val="28"/>
          <w:rtl w:val="true"/>
          <w:lang w:bidi="ar-SA"/>
        </w:rPr>
        <w:t>فرع قم المقدّسة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الاستصحاب</w:t>
      </w:r>
      <w:bookmarkStart w:id="21" w:name="pg2245_12609"/>
    </w:p>
    <w:p>
      <w:pPr>
        <w:pStyle w:val="BookText"/>
        <w:rPr/>
      </w:pPr>
      <w:bookmarkEnd w:id="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w:t>
      </w:r>
    </w:p>
    <w:p>
      <w:pPr>
        <w:pStyle w:val="BookText"/>
        <w:rPr/>
      </w:pPr>
      <w:r>
        <w:rPr>
          <w:rFonts w:ascii="Amiri" w:hAnsi="Amiri" w:eastAsia="Amiri" w:cs="Amiri"/>
          <w:color w:val="111111"/>
          <w:sz w:val="28"/>
          <w:sz w:val="28"/>
          <w:szCs w:val="28"/>
          <w:rtl w:val="true"/>
          <w:lang w:bidi="ar-SA"/>
        </w:rPr>
        <w:t>اللَّهُ على مُحَمَّدٍ وَ آلهِ الطّاهِرين،</w:t>
      </w:r>
    </w:p>
    <w:p>
      <w:pPr>
        <w:pStyle w:val="BookText"/>
        <w:rPr/>
      </w:pPr>
      <w:r>
        <w:rPr>
          <w:rFonts w:ascii="Amiri" w:hAnsi="Amiri" w:eastAsia="Amiri" w:cs="Amiri"/>
          <w:color w:val="111111"/>
          <w:sz w:val="28"/>
          <w:sz w:val="28"/>
          <w:szCs w:val="28"/>
          <w:rtl w:val="true"/>
          <w:lang w:bidi="ar-SA"/>
        </w:rPr>
        <w:t>وَ لَعْنَةُ على أَعدائِهمْ أجْمَعين</w:t>
      </w:r>
    </w:p>
    <w:p>
      <w:pPr>
        <w:pStyle w:val="Heading2"/>
        <w:numPr>
          <w:ilvl w:val="1"/>
          <w:numId w:val="1"/>
        </w:numPr>
        <w:rPr/>
      </w:pPr>
      <w:bookmarkStart w:id="22" w:name="__RefHeading___Toc1613895_3804643083"/>
      <w:bookmarkStart w:id="23" w:name="_Toc8"/>
      <w:bookmarkEnd w:id="22"/>
      <w:r>
        <w:rPr>
          <w:rtl w:val="true"/>
        </w:rPr>
        <w:t>فصل في تعريف الاستصحاب</w:t>
      </w:r>
      <w:bookmarkEnd w:id="23"/>
    </w:p>
    <w:p>
      <w:pPr>
        <w:pStyle w:val="Heading3"/>
        <w:numPr>
          <w:ilvl w:val="2"/>
          <w:numId w:val="1"/>
        </w:numPr>
        <w:rPr/>
      </w:pPr>
      <w:bookmarkStart w:id="24" w:name="__RefHeading___Toc1613897_3804643083"/>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و قد عُرِّف بتعاريف </w:t>
      </w:r>
      <w:r>
        <w:rPr>
          <w:rStyle w:val="FootnoteAnchor"/>
          <w:rtl w:val="true"/>
        </w:rPr>
        <w:footnoteReference w:id="6"/>
      </w:r>
      <w:r>
        <w:rPr>
          <w:rFonts w:ascii="Amiri" w:hAnsi="Amiri" w:eastAsia="Amiri" w:cs="Amiri"/>
          <w:color w:val="111111"/>
          <w:sz w:val="28"/>
          <w:sz w:val="28"/>
          <w:szCs w:val="28"/>
          <w:rtl w:val="true"/>
          <w:lang w:bidi="ar-SA"/>
        </w:rPr>
        <w:t>لا يخلو شي‌ءٌ منها من الإشكال، بل لا يخلو كلام الأعلام في هذا الباب من الاضطراب و المناقضة صدراً و ذيلًا، و بعد تحقيق حقيقة الاستصحاب يظهر صدق 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إمّا أن يكون أصلًا عمليّاً كأصالة الحلّ و الطهارة، و يكون وظيفة عمليّة في مقام الشكّ، و يكون موضوعه الشكّ في شي‌ءٍ مُتيقَّن سابقاً، من غير أن يكون اعتباره لأجل التحفّظ على الواقع، فلا يكون حينئذٍ حُجّة على الواقع، و لا طريقاً مجعولًا، فإطلاق الحجّة عليه غير صحيح، كإطلاق الحجّة على أصالتي الطهارة و الحلّية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عليه يكون تعريفه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إبقاء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 </w:t>
      </w:r>
      <w:r>
        <w:rPr>
          <w:rStyle w:val="FootnoteAnchor"/>
          <w:rtl w:val="true"/>
        </w:rPr>
        <w:footnoteReference w:id="7"/>
      </w:r>
      <w:r>
        <w:rPr>
          <w:rFonts w:ascii="Amiri" w:hAnsi="Amiri" w:eastAsia="Amiri" w:cs="Amiri"/>
          <w:color w:val="111111"/>
          <w:sz w:val="28"/>
          <w:sz w:val="28"/>
          <w:szCs w:val="28"/>
          <w:rtl w:val="true"/>
          <w:lang w:bidi="ar-SA"/>
        </w:rPr>
        <w:t>ممّا لا مانع منه، سواءً اريد منه</w:t>
      </w:r>
    </w:p>
    <w:p>
      <w:pPr>
        <w:pStyle w:val="BookText"/>
        <w:rPr/>
      </w:pPr>
      <w:r>
        <w:rPr>
          <w:rFonts w:ascii="Amiri" w:hAnsi="Amiri" w:eastAsia="Amiri" w:cs="Amiri"/>
          <w:color w:val="111111"/>
          <w:sz w:val="28"/>
          <w:sz w:val="28"/>
          <w:szCs w:val="28"/>
          <w:rtl w:val="true"/>
          <w:lang w:bidi="ar-SA"/>
        </w:rPr>
        <w:t xml:space="preserve">الإبقاء العمليّ الذي هو وظيفة المُكلَّف </w:t>
      </w:r>
      <w:r>
        <w:rPr>
          <w:rStyle w:val="FootnoteAnchor"/>
          <w:rtl w:val="true"/>
        </w:rPr>
        <w:footnoteReference w:id="8"/>
      </w:r>
      <w:r>
        <w:rPr>
          <w:rFonts w:ascii="Amiri" w:hAnsi="Amiri" w:eastAsia="Amiri" w:cs="Amiri"/>
          <w:color w:val="111111"/>
          <w:sz w:val="28"/>
          <w:sz w:val="28"/>
          <w:szCs w:val="28"/>
          <w:rtl w:val="true"/>
          <w:lang w:bidi="ar-SA"/>
        </w:rPr>
        <w:t xml:space="preserve">، أو الحُكم بالإبقاء من قِبَل الشارع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حينئذٍ يكون مسألة فقهيّة و لو في الاستصحابات الحُكميّة؛ فإنَّه على كلا التقديرين يكون وظيفة عمليّة غير ناظرة إلى الحُكم الواقعيّ، و لا حُجّة عليه، و لا طريقاً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حُجّة على الواقع، سواء كان أصلًا اعتبر لأجل التحفّظ على الواقع، كأصالة الاحتياط في الشبهة البَدْويّة، أو طريقاً كاشفاً عنه كسائر الأمارات الكاشفة عن الواقع، فحينئذٍ يكون مسألة اصوليّة، و إطلاق الحُجّة عليه صحيح؛ فإنَّ معنى الحُجّية هو كون الشي‌ء مُنجِّزاً للواقع؛ بحيث لو خالفه المكلَّف مع قيامه عليه يكون مُستحقّاً للعُقوبة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الدليل على وجوب الاحتياط في الشبهة البَدويّة، يصير الاحتمال حُجّة على الواقع؛ بمعنى أنَّه لو احتمل المُكلَّف وجوب شي‌ءٍ فتركه، و كان واجباً واقعاً، يصير مُستحقّاً للعقوبة عليه، و هذا معنى تنجيز الواقع، و المُنجِّز هو الحُجّة على الواقع، و ليس المُراد بالحُجّة في الاصول القياس المنطقيّ، و إن اشتبه على بعض الأعاظم حتّى العلّامة الأنصاري قدّس سرّه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ريحانة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الحُجّة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أصلًا لحفظ الواقع أو أمارة لإثباته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لكن تعريفه حينئذٍ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إبقاء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ليس على ما ينبغي؛ لأنَّ الاستصحاب بناءً عليه أمر يكون حكم الشارع أو بناء العقلاء أو حكم العقل دليلًا على اعتباره، و يجب على المُكلَّف العمل على طبقه وجوباً طريقيّاً للتحفّظ على الواقع، و لا يكون نفس الحكم الشرعيّ أو نفس عمل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خبر الثقة الذي هو طريق إلى الواقع و حُجّة عليه شي‌ء، و إيجاب العمل على طبقه شي‌ء آخر، و العمل عليه شي‌ء ثالث،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الثقة هو وجوب العمل على طبقه، أو العمل على طبقه، فكذلك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السابق للشي‌ء الكاشف عن بقائه في زمن الشكّ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السابق الكاشف عن مُتعلَّقه في زمن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المسبوق باليقين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أمارة على الواقع كسائر الأمارات، و وجه اعتباره عند العقلاء أو الشارع أنَّ الثابت يدوم،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السابق الكاشف عن البقاء في زمن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حقيقة الاستصحاب، فهذا التعريف صحيح و لو بناءً على أخذه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اعتباره الشرعيّ إنّما يكون بجعل اليقين طريقاً إلى مُتعلَّقه في زمان الشكّ، فتكون حقيقته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اليقين السابق على الشكّ في البقاء، الكاشف عن مُتعلَّقه في زمن الشكّ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اعتباره ليس لأجل الطريقيّة إلى الواقع، بل لأجل التحفّظ عليه، و أنَّ إيجاب العمل على طبق الحالة السابقة لأجل التحفّظ عليها، فيكون أصلًا و حُجّةً على الواقع، نظير أصالة الاحتياط في الشبهات البَدويّة في الأعراض و النفوس، فتكون</w:t>
      </w:r>
    </w:p>
    <w:p>
      <w:pPr>
        <w:pStyle w:val="BookText"/>
        <w:rPr/>
      </w:pPr>
      <w:r>
        <w:rPr>
          <w:rFonts w:ascii="Amiri" w:hAnsi="Amiri" w:eastAsia="Amiri" w:cs="Amiri"/>
          <w:color w:val="111111"/>
          <w:sz w:val="28"/>
          <w:sz w:val="28"/>
          <w:szCs w:val="28"/>
          <w:rtl w:val="true"/>
          <w:lang w:bidi="ar-SA"/>
        </w:rPr>
        <w:t>حقيقته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الشكّ في بقاء الشي‌ء المسبوق باليقين به، أو اليقين الملحوق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جعله الشارع حُجّة على الواقع هو اليقين السابق الغير الكاشف عن الكون اللّاحق أو الشكّ المسبوق به، كما أنَّ ما جعله حُجّة عليه في باب الاحتياط في الأعراض و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وجوبه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الاحتمال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النظر في كثير ممّا ذكره الأعلام في المقام، فإنّك ترى أنَّ من جعل الاستصحاب أصلًا عمليّاً و وظيفة عمليّة للشاكّ يبحث عن حُجّيته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جعله حُجّة على الواقع 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الحكم بإبقاء ما كان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الإبقاء العمليّ، و يكون فعلًا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من المسائل الاصوليّة، و يبحث عن حُجّيته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مناقضات وقعت في كلامهم، و عليك بالتأمّل التامّ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أيضاً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تعريفه بشي‌ء يكون مورداً للنقض و الإبرام على جميع المسالك؛ لعدم الجامع بينها، فإنَّ من جعله أصلًا عمليّاً لا بُدَّ و أن يجعل الشك موضوعاً،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وظيفة للشاكّ عند قصور اليد عن الواقع، و من جعله أمارة على الواقع لا بُدَّ و أن لا يعتبر الشكّ على نحو الموضوعيّة، و هما ممّا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جامع بين القول بالطريقيّة و الأماريّة على الواقع، و بين القول بأنَّه حُجّة على الواقع و أصل كأصل الاحتياط، فمن أراد تعريفه بجامع تجتمع عليه الأقوال المُتقابلة فقد أخطأ الغرض، إلّا أن يراد بالجامع الغرض منه على بعض الاعتبارات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التنبيه على أمرين</w:t>
      </w:r>
      <w:r>
        <w:rPr>
          <w:rFonts w:eastAsia="Amiri" w:cs="Amiri" w:ascii="Amiri" w:hAnsi="Amiri"/>
          <w:color w:val="111111"/>
          <w:sz w:val="28"/>
          <w:szCs w:val="28"/>
          <w:rtl w:val="true"/>
          <w:lang w:bidi="ar-SA"/>
        </w:rPr>
        <w:t>:</w:t>
      </w:r>
      <w:bookmarkStart w:id="26" w:name="pg2245_12616"/>
    </w:p>
    <w:p>
      <w:pPr>
        <w:pStyle w:val="Heading3"/>
        <w:numPr>
          <w:ilvl w:val="2"/>
          <w:numId w:val="1"/>
        </w:numPr>
        <w:rPr/>
      </w:pPr>
      <w:bookmarkStart w:id="27" w:name="__RefHeading___Toc1613899_3804643083"/>
      <w:bookmarkStart w:id="28" w:name="_Toc10"/>
      <w:bookmarkEnd w:id="26"/>
      <w:bookmarkEnd w:id="27"/>
      <w:r>
        <w:rPr>
          <w:rtl w:val="true"/>
        </w:rPr>
        <w:t>الأمر الأوّل</w:t>
      </w:r>
      <w:r>
        <w:rPr>
          <w:rtl w:val="true"/>
        </w:rPr>
        <w:t xml:space="preserve">: </w:t>
      </w:r>
      <w:r>
        <w:rPr>
          <w:rtl w:val="true"/>
        </w:rPr>
        <w:t>الاحتمالات التي في الباب</w:t>
      </w:r>
      <w:bookmarkEnd w:id="28"/>
    </w:p>
    <w:p>
      <w:pPr>
        <w:pStyle w:val="BookText"/>
        <w:rPr/>
      </w:pPr>
      <w:r>
        <w:rPr>
          <w:rFonts w:ascii="Amiri" w:hAnsi="Amiri" w:eastAsia="Amiri" w:cs="Amiri"/>
          <w:color w:val="111111"/>
          <w:sz w:val="28"/>
          <w:sz w:val="28"/>
          <w:szCs w:val="28"/>
          <w:rtl w:val="true"/>
          <w:lang w:bidi="ar-SA"/>
        </w:rPr>
        <w:t>إنَّه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التصوّر و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الاستصحاب أصلًا عمليّاً كأصالة الحلّ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أصلًا شرعيّاً للتحفّظ على الواقع، و يكون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أمارة شرعيّة، كخبر الثقة بناءً على أن يكون اعتباره من قِبَل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أمارة عُقلائية، كخبر الثقة بناءً على كون اعتباره من جهة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أصلًا عُقلائيّاً يكون بناء العُقلاء على العمل به لا لأجل طريقيّته إلى الواقع، بل لحِكْمة دفع الحرج، كأصالة الصحّة بناءً على كونها من الاصول العُقلائيّة التي شُرّعت عندهم لأجل حِكْمة دفع الحرج، لا لأجل الطريقيّة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دليلًا عقليّاً من العقليّات الغير المُستقلّة؛ أي التي تنتهي إلى الحكم الشرعيّ لا بالاستقلال، بل بضمِّ مُقدِّمة شرعيّة، كالحكم بالمُلازمة بين وجوب الشي‌ء و وجوب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كونه من العقليّات المُستقلَّة فممنوع؛ لأنّها هي القضايا العقلية المُنتهية إلى الحكم الشرعيّ بلا توسّط شي‌ءٍ آخر وراء الحكم العقليّ، كالحكم بأنَّ الظلم قبيح، و تجويزه على الشارع قبيح، و القبيح محال عليه،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الظلم حرام بحسب 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أخذه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العقليّات المُستقلّة؛ لاحتياجه إلى خطاب شرعيّ يُجعل صغرى للكبرى العقليّة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بأنَّ الاستصحاب أصلٌ عمليّ يمكن أن يأخذه من الأخبار و هو واضح، و يمكن أن يأخذه من بناء العُقلاء؛ لإمكان أن يكون اصلًا عُقلائيّاً بنى</w:t>
      </w:r>
      <w:bookmarkStart w:id="29" w:name="pg2245_12618"/>
    </w:p>
    <w:p>
      <w:pPr>
        <w:pStyle w:val="BookText"/>
        <w:rPr/>
      </w:pPr>
      <w:bookmarkEnd w:id="29"/>
      <w:r>
        <w:rPr>
          <w:rFonts w:ascii="Amiri" w:hAnsi="Amiri" w:eastAsia="Amiri" w:cs="Amiri"/>
          <w:color w:val="111111"/>
          <w:sz w:val="28"/>
          <w:sz w:val="28"/>
          <w:szCs w:val="28"/>
          <w:rtl w:val="true"/>
          <w:lang w:bidi="ar-SA"/>
        </w:rPr>
        <w:t>العُقلاء على العمل به لمصالح، كدفع الحرج و رَغَد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نُنكر الأصل العُقلائيّ مُطلقاً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العُقلاء لا يكون إلّا الطرق كما هو المعروف </w:t>
      </w:r>
      <w:r>
        <w:rPr>
          <w:rStyle w:val="FootnoteAnchor"/>
          <w:rtl w:val="true"/>
        </w:rPr>
        <w:footnoteReference w:id="15"/>
      </w:r>
      <w:r>
        <w:rPr>
          <w:rFonts w:ascii="Amiri" w:hAnsi="Amiri" w:eastAsia="Amiri" w:cs="Amiri"/>
          <w:color w:val="111111"/>
          <w:sz w:val="28"/>
          <w:sz w:val="28"/>
          <w:szCs w:val="28"/>
          <w:rtl w:val="true"/>
          <w:lang w:bidi="ar-SA"/>
        </w:rPr>
        <w:t>و لكنَّه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بأنَّه دليل اجتهاديّ يمكن أن يأخذه من بناء العقلاء أو حُكم العقل، و يمكن أن يأخذه من الأخبار؛ بادّعاء أنَّ مفادها هو اعتباره من حيث طريقيّته و كاشفيّته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بعض ما ذكرنا يظهر النظرُ في بعض ما أفاده الشيخ الأنصاريّ في هذا المقام فراجع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613901_3804643083"/>
      <w:bookmarkStart w:id="31" w:name="_Toc11"/>
      <w:bookmarkEnd w:id="30"/>
      <w:r>
        <w:rPr>
          <w:rtl w:val="true"/>
        </w:rPr>
        <w:t>الأمر الثاني</w:t>
      </w:r>
      <w:r>
        <w:rPr>
          <w:rtl w:val="true"/>
        </w:rPr>
        <w:t xml:space="preserve">: </w:t>
      </w:r>
      <w:r>
        <w:rPr>
          <w:rtl w:val="true"/>
        </w:rPr>
        <w:t>الاستصحاب ليس من الأدلّة الأربعة</w:t>
      </w:r>
      <w:bookmarkEnd w:id="31"/>
    </w:p>
    <w:p>
      <w:pPr>
        <w:pStyle w:val="Heading4"/>
        <w:numPr>
          <w:ilvl w:val="3"/>
          <w:numId w:val="1"/>
        </w:numPr>
        <w:rPr/>
      </w:pPr>
      <w:bookmarkStart w:id="32" w:name="__RefHeading___Toc1613903_3804643083"/>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إنَّ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الأدلّة الأربعة إذا اخذت حُجّيته من الأخبار؛ لأنَّ الأدلّة الأربعة؛ أي الكتاب و السُنّة و الإجماع و العقل، هي الأدلّة التي اقيمت منها على الحُكم الفرعيّ، لا الأعمّ منها و ممّا اقيمت على الحُكم الأصليّ؛ أي المسألة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خبر الثقة على حُرمة العصير العنبيّ، و دلَّ ظاهر الكتاب على اعتباره يكون الدليل على حُرمة العصير هو خبر الثقة، لا ظاهر الكتاب، و كذا لو دلّت الأخبار على اعتبار خبر الثقة، و قام خبر الثقة على حُرمة العصير، يكون الخبر القائم على حُرمته من الأدلَّة الأربعة، لا الأخبار الدالَّة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فالاستصحاب بناءً على ما ذكرنا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أنَّه عبارة عن نفس الكون السابق الكاشف عن بقائه في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اليقين السابق الملحوق بالشكّ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الشكّ المسبوق باليقين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الدليل أو الحُجّة على الحكم الفرعيّ الكُلّي، و ليس هو من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و الكتاب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 فلأنَّ المفروض أنَّه اخذ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فلأنَّ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Style w:val="FootnoteAnchor"/>
          <w:rtl w:val="true"/>
        </w:rPr>
        <w:footnoteReference w:id="18"/>
      </w:r>
      <w:r>
        <w:rPr>
          <w:rFonts w:ascii="Amiri" w:hAnsi="Amiri" w:eastAsia="Amiri" w:cs="Amiri"/>
          <w:color w:val="111111"/>
          <w:sz w:val="28"/>
          <w:sz w:val="28"/>
          <w:szCs w:val="28"/>
          <w:rtl w:val="true"/>
          <w:lang w:bidi="ar-SA"/>
        </w:rPr>
        <w:t>دليل اعتبار الاستصحاب، كدلالة آية النبأ</w:t>
      </w:r>
      <w:r>
        <w:rPr>
          <w:rStyle w:val="FootnoteAnchor"/>
          <w:rtl w:val="true"/>
        </w:rPr>
        <w:footnoteReference w:id="19"/>
      </w:r>
      <w:r>
        <w:rPr>
          <w:rFonts w:ascii="Amiri" w:hAnsi="Amiri" w:eastAsia="Amiri" w:cs="Amiri"/>
          <w:color w:val="111111"/>
          <w:sz w:val="28"/>
          <w:sz w:val="28"/>
          <w:szCs w:val="28"/>
          <w:rtl w:val="true"/>
          <w:lang w:bidi="ar-SA"/>
        </w:rPr>
        <w:t xml:space="preserve">على اعتبار خبر الثقة، فكما أنَّ الآية دليل على الدليل، و يكون الدليل على الفرع الفقهيّ هو خبر الثقة لا آية النبأ، فكذلك الدليل في الفقه أو الحُجّة في الفقه هو نفس الاستصحاب،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على اعتباره، فليس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أخذه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الأربعة، بل هو دليل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السرَّ في ذهاب القُدماء من اصحابنا إلى انحصار الأدلَّة في الأربعة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العامّة الذين هم الأصل في تدوين الاصول عدّوا الاستصحاب من الأدلّة العقليّة كالقياس و الاستقراء</w:t>
      </w:r>
      <w:r>
        <w:rPr>
          <w:rStyle w:val="FootnoteAnchor"/>
          <w:rtl w:val="true"/>
        </w:rPr>
        <w:footnoteReference w:id="21"/>
      </w:r>
      <w:r>
        <w:rPr>
          <w:rFonts w:ascii="Amiri" w:hAnsi="Amiri" w:eastAsia="Amiri" w:cs="Amiri"/>
          <w:color w:val="111111"/>
          <w:sz w:val="28"/>
          <w:sz w:val="28"/>
          <w:szCs w:val="28"/>
          <w:rtl w:val="true"/>
          <w:lang w:bidi="ar-SA"/>
        </w:rPr>
        <w:t xml:space="preserve">، و قُدماء أصحابنا إلى زمان والد شيخنا البهائيّ لم يُعهد تمسّكهم بالأدلّة النقليّة في حُجّية الاستصحاب على ما حُكي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والد 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عزّ الدين الحسين بن عبد الصمد بن شمس الدين محمَّد بن علي الحارثي اللويزاني العاملي، من ذرّية الحارث الهمداني الذي كان من خواصّ الإمام أمير المؤمنين عليه السلام، المولود سنة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العلماء المشاهير، و أعيان الحديث و أثباته، و كان أديباً مناظراً مليح الشعر و النثر، ذا تفنّن في العلوم، يروي عن جملة من أعلام عصره، منهم الشهيد الشيخ زين الدين الجبعي العاملي، و السيد حسن بن جعفر الحسيني الكركي، و له أيضاً تلامذة فضلاء،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ولده الشيخ البهائي، و الشيخ رشيد الدين ابن الشيخ إبراهيم الأصفهاني و غيرهم، و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الطهماسبي، وصول الأخيار إلى اصول الأخبار، شرح القواعد، حاشية الإرشاد، الأربعون حديثاً، تحقيق القبلة، ديوان شعره، توفّي بالبحرين سنة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بقرية المصلّى من قرى هجر و 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أمل الآمل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تكملة أمل الآمل للسيد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الشيخ البهائي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المحقق الكبير الشيخ بهاء الدين محمّد ابن الشيخ عز الدين الحسين بن عبد الصمد الحارثي العاملي الجبعي، علم الأئمّة الأعلام، و سيّد علماء الإسلام، كانت له اليد الطولى في معرفة المذهب، و جمع من العلوم ما لم يجمعه أحد، فوقف على حقائقها و دقائقها، و مؤلفاته بأسرها محط أنظار العلماء و الادباء، مشحونة بالتحقيق، طافحة بالفضل، نذكر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الاصول، الحبل المتين، مشرق الشمسين، الحديقة الهلالية، تشريح الأفلاك، حاشية على شرح العضدي، خلاصة الحساب، حواشي الكشاف و غير ذلك، اشتغل على جملة من علماء عصره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المحقق الشيخ عز الدين الحسين، و العلّامة عبد اللَّه بن شهاب الدين اليزدي، و محمّد باقر اليزدي، و أفضل القائني، و اعتماد الدين محمود، و أحمد الكچائي و غيرهم، كان مولده في بعلبك سنة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توفّي في أصفهان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طبقات أعلام الشيعة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لؤلؤة البحرين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المتأخّرون ممّن قارب عصرنا فقد أنكروا كون موضوع علم الاصول هو الأدلّة بما هي أو ذاتها، و زعموا أنَّه لو جُعل الموضوع هو الأدلّة تصير مسألة حُجّية خبر الواحد و الاستصحاب و نحوهما من المبادئ التصديقيّة</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مباحث الألفاظ تحقيق الحال في موضوع الاصول و المسائل الاصوليّة فراجع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مسألة حُجّية الاستصحاب و خبر الثقة من المسائل الاصوليّة، و إلى ما ذكرنا يرجع قول بعض السادة الفحول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المعظّم، علّامة العلماء الأعلام، فخر فقهاء الإسلام، محطّ رجال الأفاضل المتبحّرين، و مناخ ركاب الجهابذة المحققين الآية العظمى السيد محمّد مهدي ابن السيد مرتضى ابن السيد محمّد البروجردي الطباطبائي، ولد في كربلاء المقدّسة سنة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فنما من تلك الاصول الطاهرة غصنه المونق، و سما على الأنجم الزاهرة بدره المشرق، فتلمّذ على جماعة من أساطين العلم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الأكبر الوحيد البهبهاني، و السيد الأجل المير عبد الباقي الخاتون‌آبادي، و العلّامة الفيلسوف السيد ميرزا مهدي الأصفهاني، و العلّامة المحقق الشيخ يوسف البحراني و آخرون، و تلمّذ عليه جماعة من أعيان الطائفة كالفاضل النراقي، و حجة الإسلام الشفتي، و العلّامة المحقق الشيخ أسد اللَّه التستري، و السيد صدر الدين العاملي، و الشيخ جعفر الكبير كاشف الغطاء، و السيد جواد العاملي و غيرهم، أشهر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المصابيح في الفقه، الدرّة النجفية، الفوائد الرجالية، ديوان شعر كبير، الفوائد الاصولية و غير ذلك، توفّي في شهر رجب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بجوار شيخ الطائفة الإمام الطوسي قدّس سرّهما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طرائف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الكنى و الألقاب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حيث جعل الاستصحاب دليلًا على</w:t>
      </w:r>
      <w:bookmarkStart w:id="34" w:name="pg2245_12625"/>
    </w:p>
    <w:p>
      <w:pPr>
        <w:pStyle w:val="BookText"/>
        <w:rPr/>
      </w:pPr>
      <w:bookmarkEnd w:id="34"/>
      <w:r>
        <w:rPr>
          <w:rFonts w:ascii="Amiri" w:hAnsi="Amiri" w:eastAsia="Amiri" w:cs="Amiri"/>
          <w:color w:val="111111"/>
          <w:sz w:val="28"/>
          <w:sz w:val="28"/>
          <w:szCs w:val="28"/>
          <w:rtl w:val="true"/>
          <w:lang w:bidi="ar-SA"/>
        </w:rPr>
        <w:t>الحكم في مورده، و جعل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دليلًا على الدليل، نظير آية النبأ بالنسبة إلى خبر الثقة، على ما نقل عنه العلّامة الأنصاريّ </w:t>
      </w:r>
      <w:r>
        <w:rPr>
          <w:rStyle w:val="FootnoteAnchor"/>
          <w:rtl w:val="true"/>
        </w:rPr>
        <w:footnoteReference w:id="26"/>
      </w:r>
      <w:r>
        <w:rPr>
          <w:rFonts w:ascii="Amiri" w:hAnsi="Amiri" w:eastAsia="Amiri" w:cs="Amiri"/>
          <w:color w:val="111111"/>
          <w:sz w:val="28"/>
          <w:sz w:val="28"/>
          <w:szCs w:val="28"/>
          <w:rtl w:val="true"/>
          <w:lang w:bidi="ar-SA"/>
        </w:rPr>
        <w:t xml:space="preserve">، و استشكل عليه بما هو غير وارد عليه بعد التأمّل فيما ذكرنا فراجع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1613905_3804643083"/>
      <w:bookmarkStart w:id="36" w:name="_Toc13"/>
      <w:bookmarkEnd w:id="35"/>
      <w:r>
        <w:rPr>
          <w:rtl w:val="true"/>
        </w:rPr>
        <w:t>تنبيه في ضابط المسألة الاصولية و أنَّ الاستصحاب منها</w:t>
      </w:r>
      <w:bookmarkEnd w:id="36"/>
    </w:p>
    <w:p>
      <w:pPr>
        <w:pStyle w:val="BookText"/>
        <w:rPr/>
      </w:pPr>
      <w:r>
        <w:rPr>
          <w:rFonts w:ascii="Amiri" w:hAnsi="Amiri" w:eastAsia="Amiri" w:cs="Amiri"/>
          <w:color w:val="111111"/>
          <w:sz w:val="28"/>
          <w:sz w:val="28"/>
          <w:szCs w:val="28"/>
          <w:rtl w:val="true"/>
          <w:lang w:bidi="ar-SA"/>
        </w:rPr>
        <w:t>يظهر من العلّامة الأنصاري هاهنا أنَّ المناط في كون المسألة اصوليّة أن يكون إجراؤها في مواردها مختصاً بالمجتهد، و أن لا يكون للمقلِّد حظّ فيها، و بنى عليه كون الاستصحاب في الشبهات الحكميّة مسألة اصوليّة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المسائل الفقهيّة و القواعد الفرعيّة لا تكون كذلك، كقاعدة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عكسها؛ فإنَّ الاطلاع على حدود تلك القاعدة و مقدار سريانها لا يمكن إلّا للمجتهد، و لا حظّ للمقلّد فيها، فالمُستفاد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كلَّ معاملة لا يُضمن بصحيحها لا يُضمن بفاسدها، و بعد تتميم هذه القاعدة يحتاج في تشخيص أنَّ أيّة معاملة لا يُضمن بصحيحها و أيّتها يُضمن إلى اجتهاد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 من المناط في اصوليّة المسألة في مباحث الألفاظ</w:t>
      </w:r>
      <w:r>
        <w:rPr>
          <w:rStyle w:val="FootnoteAnchor"/>
          <w:rtl w:val="true"/>
        </w:rPr>
        <w:footnoteReference w:id="29"/>
      </w:r>
      <w:r>
        <w:rPr>
          <w:rFonts w:ascii="Amiri" w:hAnsi="Amiri" w:eastAsia="Amiri" w:cs="Amiri"/>
          <w:color w:val="111111"/>
          <w:sz w:val="28"/>
          <w:sz w:val="28"/>
          <w:szCs w:val="28"/>
          <w:rtl w:val="true"/>
          <w:lang w:bidi="ar-SA"/>
        </w:rPr>
        <w:t>يظهر أنَّ الاستصحاب مسألة اصولية، سواءً اخذ من الأخبار أم لا</w:t>
      </w:r>
      <w:r>
        <w:rPr>
          <w:rFonts w:eastAsia="Amiri" w:cs="Amiri" w:ascii="Amiri" w:hAnsi="Amiri"/>
          <w:color w:val="111111"/>
          <w:sz w:val="28"/>
          <w:szCs w:val="28"/>
          <w:rtl w:val="true"/>
          <w:lang w:bidi="ar-SA"/>
        </w:rPr>
        <w:t>.</w:t>
      </w:r>
      <w:bookmarkStart w:id="37" w:name="pg2245_12629"/>
    </w:p>
    <w:p>
      <w:pPr>
        <w:pStyle w:val="Heading2"/>
        <w:numPr>
          <w:ilvl w:val="1"/>
          <w:numId w:val="1"/>
        </w:numPr>
        <w:rPr/>
      </w:pPr>
      <w:bookmarkStart w:id="38" w:name="__RefHeading___Toc1613907_3804643083"/>
      <w:bookmarkStart w:id="39" w:name="_Toc14"/>
      <w:bookmarkEnd w:id="37"/>
      <w:bookmarkEnd w:id="38"/>
      <w:r>
        <w:rPr>
          <w:rtl w:val="true"/>
        </w:rPr>
        <w:t>فصل حال جريان الاستصحاب في الأحكام العقليّة</w:t>
      </w:r>
      <w:bookmarkEnd w:id="39"/>
    </w:p>
    <w:p>
      <w:pPr>
        <w:pStyle w:val="Heading3"/>
        <w:numPr>
          <w:ilvl w:val="2"/>
          <w:numId w:val="1"/>
        </w:numPr>
        <w:rPr/>
      </w:pPr>
      <w:bookmarkStart w:id="40" w:name="__RefHeading___Toc1613909_3804643083"/>
      <w:bookmarkStart w:id="41" w:name="_Toc15"/>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قد فصّل العلّامة الأنصاري رحمه اللَّه بين الأحكام الشرعيّة المُستفادة من الدليل الشرعيّ، و المُستفادة من الدليل العقليّ، فذهب إلى عدم الجريان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كلامه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الأحكام العقليّة بجميع قيوده معلوم مُفصّل لدى العقل، و لا يُعقل طروّ الشكّ في موضوع حُكمه، و تكون تمام الحيثيّات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عدم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قيود الموضوع، و تكون مناطات أحكامه معلومة مُفصَّلة، و الأحكام الناشئة من إدراك تلك المناطات مُفصّلة مُبيّنة، لا يحوم حولها الشكّ إلّا من حيث الشكّ في عنوان الموضوع، فالشكّ و إن كان في الرافع يرجع إلى الشكّ في تبدّل عنوان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بحسن عنوان أو قُبحه ممّا لا يتبدَّل مع حفظ ذاك العنوان، و مع الشكّ في تبدّل العنوان لا يكون للعقل حُكم جزماً، فاستصحاب حُكم العقل مع القطع بعدمه لا معنى 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يجري استصحاب الحكم الشرعيّ المُستكشف منه؛ لأنَّ الحكم المُستكشف أيضاً يكون للعنوان الذي أدرك العقل مناطه فيه، فيكون الحكم الشرعيّ</w:t>
      </w:r>
      <w:bookmarkStart w:id="42" w:name="pg2245_12631"/>
    </w:p>
    <w:p>
      <w:pPr>
        <w:pStyle w:val="BookText"/>
        <w:rPr/>
      </w:pPr>
      <w:bookmarkEnd w:id="42"/>
      <w:r>
        <w:rPr>
          <w:rFonts w:ascii="Amiri" w:hAnsi="Amiri" w:eastAsia="Amiri" w:cs="Amiri"/>
          <w:color w:val="111111"/>
          <w:sz w:val="28"/>
          <w:sz w:val="28"/>
          <w:szCs w:val="28"/>
          <w:rtl w:val="true"/>
          <w:lang w:bidi="ar-SA"/>
        </w:rPr>
        <w:t>التابع للحكم العقليّ مُتعلّقاً بعين العنوان الذي يكون الحكم العقليّ مُتعلّقاً به، فلا يمكن طروّ الشكّ مع بقاء الموضوع، فلا بُدَّ فيه من الشكّ في تبدّله، فلا يبقى موضوع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الأحكام العقليّة و الشرعيّة المُستفادة من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المُستفادة من الأدلَّة الشرعيّة، فجريان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دليلًا ظنيّاً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لعين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أخذه من الأخبار فلا مانع منه؛ فإنَّه تابع لتحقّق موضوعه و معروضه عُرفاً، فقد يحكم الشارع بحرمة شي‌ءٍ، و يشك في الآن الثاني في بقاء مناطه مع بقاء الموضوع عُرفاً، فيستصحب الحكم الشرعيّ </w:t>
      </w:r>
      <w:r>
        <w:rPr>
          <w:rStyle w:val="FootnoteAnchor"/>
          <w:rtl w:val="true"/>
        </w:rPr>
        <w:footnoteReference w:id="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43" w:name="__RefHeading___Toc1613911_3804643083"/>
      <w:bookmarkStart w:id="44" w:name="_Toc16"/>
      <w:bookmarkEnd w:id="43"/>
      <w:r>
        <w:rPr>
          <w:rtl w:val="true"/>
        </w:rPr>
        <w:t>الإشكالات الواردة على الشيخ الأنصاري و جوابها</w:t>
      </w:r>
      <w:bookmarkEnd w:id="44"/>
    </w:p>
    <w:p>
      <w:pPr>
        <w:pStyle w:val="BookText"/>
        <w:rPr/>
      </w:pPr>
      <w:r>
        <w:rPr>
          <w:rFonts w:ascii="Amiri" w:hAnsi="Amiri" w:eastAsia="Amiri" w:cs="Amiri"/>
          <w:color w:val="111111"/>
          <w:sz w:val="28"/>
          <w:sz w:val="28"/>
          <w:szCs w:val="28"/>
          <w:rtl w:val="true"/>
          <w:lang w:bidi="ar-SA"/>
        </w:rPr>
        <w:t>و أورد عليه جُلُّ من تأخّر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 نسلّم لزوم تبيّن موضوع حكم العقل و مناطه؛ لإمكان أن يكون العقل قاطعاً بوجود المناط في موضوع مركّب من امور، أو مُقيّد بقيود على سبيل الإجمال و الإهمال، و لم يكن ما تعلّق به المناط مُفصّلًا عنده، فإذا زال قيد أو جزء غير مقوّم له يشكّ في بقاء ما هو المناط، فلا يجري استصحاب نفس الحُكم العقليّ، و لكن جريان الحكم المُستكشف منه ممّا لا مانع منه مع بقاء الموضوع عُرفاً؛ لاحتمال بقاء المناط في الناقص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بأنَّ المُلازمة بين حُكم الشرع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و مناطاً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في</w:t>
      </w:r>
    </w:p>
    <w:p>
      <w:pPr>
        <w:pStyle w:val="BookText"/>
        <w:rPr/>
      </w:pPr>
      <w:r>
        <w:rPr>
          <w:rFonts w:ascii="Amiri" w:hAnsi="Amiri" w:eastAsia="Amiri" w:cs="Amiri"/>
          <w:color w:val="111111"/>
          <w:sz w:val="28"/>
          <w:sz w:val="28"/>
          <w:szCs w:val="28"/>
          <w:rtl w:val="true"/>
          <w:lang w:bidi="ar-SA"/>
        </w:rPr>
        <w:t xml:space="preserve">مقام الكشف و الدلالة، لا بحسب الواقع، فيحتمل أن يكون هناك ملاك آخر بحسب الثبوت قائم بالناقص، غير المناط القائم بالكامل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مناط الحكم الشّرعيّ يمكن أن يكون قائماً بالأعمّ ممّا قام به مناط الحكم العقليّ، فتكون دائرة حكمه أوسع؛ أي يكون مناط الحكم العقليّ في الواجِد للخصوصيّة، و مناط الحكم الشرعيّ في الأعمّ من الواجد و الفاقد، و مع فقد الخصوصيّة الغير المقوّمة للموضوع عرفاً يستصحب؛ لاحتمال بقاء الحكم الشرعيّ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شي‌ء من الإشكالات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تعقّل كون العقل جازماً بالمناط في موضوع مركّب على سبيل الإجمال و الإهمال؛ لأنَّ من شأن العقل أن يحلّل المركّب و المقيّد إلى أجزاء و قيود بسيطة، فيلاحظ كلّ جزءٍ من غير انضمامه إلى الآخر، و المقيّدَ و القيدَ من غير انضمام كلّ إلى الآخر، فإذا لاحظ جزءاً فإمّا أن يدرك فيه الملاك أو لا، فإن أدرك فيه فإمّا أن يدرك فيه تمام الملاك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بأنَّ هذا الجزء تمام الموضوع، و سائر الأجزاء كالحجر إلى جنب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الأجزاء واحداً بعد واحد حتّى يطّلع على ما هو تمام مناط حكمه مُنضمّاً إلى هذا الجزء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يدرك فيه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بأنَّ حكمه بالحسن أو القبح غير ناش منه؛ فإنَّ الملاك المشكوك فيه لا ينتج الحكم المقطوع به بالبداهة، فالإجمال في حكم العقل ممّا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اخرى أنَّ حكم العقل دائماً إنّما يتعلّق بالعناوين الكلّية المُبيّنة عنده، و عروض التركيب الخارجيّ لا يوجب الإهمال و الإجمال في موضوعه تأمّل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الناقص إذا كان له ملاك آخر تامّ، يكون موضوعاً مُستقلّاً لحكم مستقلّ شرعيّ، كما أنَّ التامّ مع وجود الملاك التامّ فيه يكون موضوعاً لِحكم آخر مُستقل؛ لأنَّ موضوعات الأحكام تلاحظ مجرّدة عن اللّواحق الغريبة في مقام تعلّق الأحكام بها، فالناقص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شي‌ء بحياله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به الملاك، ملحوظ في مقام الموضوعيّة، و يتعلّق به حكم، و التامّ أيضاً كذلك، فلا يجري الاستصحاب فيه؛ للعلم بزوال الحكم الأوّل، و الشكّ في وجود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جريان استصحاب الحكم الكلّي في المقام </w:t>
      </w:r>
      <w:r>
        <w:rPr>
          <w:rStyle w:val="FootnoteAnchor"/>
          <w:rtl w:val="true"/>
        </w:rPr>
        <w:footnoteReference w:id="35"/>
      </w:r>
      <w:r>
        <w:rPr>
          <w:rFonts w:ascii="Amiri" w:hAnsi="Amiri" w:eastAsia="Amiri" w:cs="Amiri"/>
          <w:color w:val="111111"/>
          <w:sz w:val="28"/>
          <w:sz w:val="28"/>
          <w:szCs w:val="28"/>
          <w:rtl w:val="true"/>
          <w:lang w:bidi="ar-SA"/>
        </w:rPr>
        <w:t>ممنوع، و لو على تسليم جريانه في الجملة؛ لأنَّ الجامع بين الحكمين غير مجعول، بل المجعول هو كلّ واحد منهما مُستقلّاً مُتعلّقاً بموضوعه، و الجامع أمر انتزاعيّ عقليّ غير متعلّق للجعل، و لا موضوع لأثر شرعيّ، و في مثله لا يجري الاستصحاب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يتّضح الإشكال في الثالث؛ فإنَّ العقل إذا أدرك المناط التامّ لموضوع يدرك أنَّ حكم الشرع تعلّق بهذا الموضوع بما هو هو، مع قطع النظر عن كليّة اللّواحق، و مع التجريد عنها، و إذا كان بحسب الواقع مناط قائم بعنوان أعمّ منه، لا بدّ و أن يتعلّق به حكم آخر مستقلّ غير مرتبط بالحكم المُتعلّق بالعنوان الأخصّ، فالإشكال الوارد على الثاني وارد عليه أيضاً</w:t>
      </w:r>
      <w:r>
        <w:rPr>
          <w:rFonts w:eastAsia="Amiri" w:cs="Amiri" w:ascii="Amiri" w:hAnsi="Amiri"/>
          <w:color w:val="111111"/>
          <w:sz w:val="28"/>
          <w:szCs w:val="28"/>
          <w:rtl w:val="true"/>
          <w:lang w:bidi="ar-SA"/>
        </w:rPr>
        <w:t>.</w:t>
      </w:r>
      <w:bookmarkStart w:id="45" w:name="pg2245_12637"/>
    </w:p>
    <w:p>
      <w:pPr>
        <w:pStyle w:val="Heading3"/>
        <w:numPr>
          <w:ilvl w:val="2"/>
          <w:numId w:val="1"/>
        </w:numPr>
        <w:rPr/>
      </w:pPr>
      <w:bookmarkStart w:id="46" w:name="__RefHeading___Toc1613913_3804643083"/>
      <w:bookmarkStart w:id="47" w:name="_Toc17"/>
      <w:bookmarkEnd w:id="45"/>
      <w:bookmarkEnd w:id="46"/>
      <w:r>
        <w:rPr>
          <w:rtl w:val="true"/>
        </w:rPr>
        <w:t>في تحقيق الحال في المقام</w:t>
      </w:r>
      <w:bookmarkEnd w:id="47"/>
    </w:p>
    <w:p>
      <w:pPr>
        <w:pStyle w:val="BookText"/>
        <w:rPr/>
      </w:pPr>
      <w:r>
        <w:rPr>
          <w:rFonts w:ascii="Amiri" w:hAnsi="Amiri" w:eastAsia="Amiri" w:cs="Amiri"/>
          <w:color w:val="111111"/>
          <w:sz w:val="28"/>
          <w:sz w:val="28"/>
          <w:szCs w:val="28"/>
          <w:rtl w:val="true"/>
          <w:lang w:bidi="ar-SA"/>
        </w:rPr>
        <w:t>هذا، و التحقيق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سلّمنا أنَّ العناوين المُبيّنة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يدرك العقل مناط الحسن أو القبح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في نظر العقل مع التجرّد على كافّة اللّواحق و العوارض الخارجيّة حسنة أو قبيحة ذاتاً، فلا يمكن أن يشكّ العقل في حكمه المُتعلّق بذلك العنوان المدرك مناطه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تلك العناوين الحسنة و القبيحة قد تصدق على موضوع خارجيّ؛ لأنَّ الوجود الخارجيّ قد يكون مجمع العناوين المُتخالفة، فالعناوين المُتكثّرة المُمتازة في الوجود العقليّ التحليليّ قد تكون مُتّحدة غير مُمتازة في الوجود الخارجيّ، و يكون الوجود الخارجيّ بوحدته مصداقاً للعناوين الكثيرة، و تحمل عليه حملًا شائعاً، فإذا صدقت عليه العناوين الحسنة و القبيحة يقع التزاحم بين مناطاتها، و يكون الحكم العقليّ في الوجود الخارجيّ تابعاً لما هو الأقوى بحسب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بما أنَّه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عروض عنوان آخر عليه في 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عقلًا، و إنجاء المؤمن من الهلكة حسن، و كلّ من الحسن و القبح ذاتيّ بالنسبة إلى عنوانه بما أنَّه عنوانه، و لكن قد يقع التزاحم بينهما في الوجود الخارجيّ إذا صدقا عليه، فيرجّح ما هو أقوى ملاكاً و هو الإنجاء، فيحكم العقل بحسن الكلام الخارجيّ المنجي مع كونه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إيذاء الحيوان بما أنَّه حيوان قبيح عقلًا، و دفع المؤذي حسن لازم عقلًا، و في صورة صدقهما على الموجود الخارجيّ يكون الحسن أو القبح تابعاً لما هو أقوى مناطاً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قد يصدق عنوان حسن على موجود خارجيّ، من غير أن يصدق عليه عنوان قبيح، فيكون الموضوع الخارجيّ حَسَناً محضاً حُسْناً ملزماً،</w:t>
      </w:r>
    </w:p>
    <w:p>
      <w:pPr>
        <w:pStyle w:val="BookText"/>
        <w:rPr/>
      </w:pPr>
      <w:r>
        <w:rPr>
          <w:rFonts w:ascii="Amiri" w:hAnsi="Amiri" w:eastAsia="Amiri" w:cs="Amiri"/>
          <w:color w:val="111111"/>
          <w:sz w:val="28"/>
          <w:sz w:val="28"/>
          <w:szCs w:val="28"/>
          <w:rtl w:val="true"/>
          <w:lang w:bidi="ar-SA"/>
        </w:rPr>
        <w:t>فيكشف العقل منه الوجوب الشرعيّ، ثمّ يشكّ في صدق عنوان قبيح عليه ممّا هو راجح مناطاً، فيقع الشكّ في الموضوع الخارجيّ بأنَّه حسن أو قبيح، و قد يكون بعكس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إنقاذ الغريق حسن عقلًا، فقد يغرق مؤمن فيحكم العقل بلزوم إنقاذه، و يكشف الحكم الشرعيّ بوجوبه، ثمَّ يشكّ في تطبيق عنوان السابّ للَّه و رسوله عليه في حال الغرق، و حيث يكون تطبيق هذا العنوان عليه ممّا يوجب قبح إنقاذه، و يكون هذا المناط أقوى من الأوّل أو دافعاً له، فيشكّ العقل في حسن الإنقاذ الخارجيّ و قبحه، و يشكّ في حكمه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حيوان غير مؤذٍ في الخارج، فيحكم العقل بقبح قتله، ثمّ يشكّ بعد بلوغه في صيرورته مؤذياً، فيشكّ في حكمه الشرعيّ، فاستصحاب الحكم العقليّ في مثل المقامات ممّا لا مجال له؛ لأنَّ حكم العقل مقطوع العدم، فإنَّ حكمه فرع إدراك المناط، و المفروض أنَّه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الشرعيّ المستكشف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الشكّ في عروض العنوان المزاحم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استصحابه، إذا كان عروض العنوان أو سلبه عن الموضوع الخارجيّ لا يضرّان ببقاء الموضوع عرفاً، كالمثالين المُتقدّمين؛ فإنَّ عنوان السابّ و المؤذي من الطوارئ الّتي لا يضرّ عروضها و سلبها ببقاء الموضوع عرفاً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جريان الاستصحاب في الأحكام المُستكشفة من الحكم العقليّ</w:t>
      </w:r>
      <w:r>
        <w:rPr>
          <w:rFonts w:eastAsia="Amiri" w:cs="Amiri" w:ascii="Amiri" w:hAnsi="Amiri"/>
          <w:color w:val="111111"/>
          <w:sz w:val="28"/>
          <w:szCs w:val="28"/>
          <w:rtl w:val="true"/>
          <w:lang w:bidi="ar-SA"/>
        </w:rPr>
        <w:t>.</w:t>
      </w:r>
      <w:bookmarkStart w:id="48" w:name="pg2245_12641"/>
    </w:p>
    <w:p>
      <w:pPr>
        <w:pStyle w:val="Heading2"/>
        <w:numPr>
          <w:ilvl w:val="1"/>
          <w:numId w:val="1"/>
        </w:numPr>
        <w:rPr/>
      </w:pPr>
      <w:bookmarkStart w:id="49" w:name="__RefHeading___Toc1613915_3804643083"/>
      <w:bookmarkStart w:id="50" w:name="_Toc18"/>
      <w:bookmarkEnd w:id="48"/>
      <w:bookmarkEnd w:id="49"/>
      <w:r>
        <w:rPr>
          <w:rtl w:val="true"/>
        </w:rPr>
        <w:t>فصل حول التفصيل بين الشكّ في الرافع و المقتضي</w:t>
      </w:r>
      <w:bookmarkEnd w:id="50"/>
    </w:p>
    <w:p>
      <w:pPr>
        <w:pStyle w:val="Heading3"/>
        <w:numPr>
          <w:ilvl w:val="2"/>
          <w:numId w:val="1"/>
        </w:numPr>
        <w:rPr/>
      </w:pPr>
      <w:bookmarkStart w:id="51" w:name="__RefHeading___Toc1613917_3804643083"/>
      <w:bookmarkStart w:id="52" w:name="_Toc19"/>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ما ذكرناه في الفصل السابق أحد تفصيلي العلّامة الأنصاريّ في الاستصحاب،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التفصيل بين الشكّ في المُقتضي و الشكّ في الرافع، فاختار عدم الجريان في الأوّل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كانت هذه المسألة مهمّة بحسب الآثار الفقهية، و من مطارح أنظار المُحقّقين المُتأخّرين عنه، فلا بد من بسط الكلام فيها حتّى يتّضح ما هو الحقّ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كلمات الشيخ أنَّ مراده من المُقتضي في مقابل الرافع هو ما يكون معروفاً بين الأعلام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المُستصحب إذا كان له استعداد بقاء و استمرار، و اقتضاء دوام و قرار، و شكّ في حدوث أمر رافع له، يكون من الشكّ في الرافع، و أمّا إذا شكّ في مقدار استعداد بقائه و قابليّة دوامه، و كان الشكّ في زواله من ناحية ذلك، فيكون من الشكّ في المُقتضي، و ليس مراده من المُقتضي هو مناطات الأحكام،</w:t>
      </w:r>
    </w:p>
    <w:p>
      <w:pPr>
        <w:pStyle w:val="BookText"/>
        <w:rPr/>
      </w:pPr>
      <w:r>
        <w:rPr>
          <w:rFonts w:ascii="Amiri" w:hAnsi="Amiri" w:eastAsia="Amiri" w:cs="Amiri"/>
          <w:color w:val="111111"/>
          <w:sz w:val="28"/>
          <w:sz w:val="28"/>
          <w:szCs w:val="28"/>
          <w:rtl w:val="true"/>
          <w:lang w:bidi="ar-SA"/>
        </w:rPr>
        <w:t>و لا المُقتضي في باب الأسباب و المُسبّبات الشرعيّة، كالعقد المُقتضي للملكيّة، و الوضوء المُقتضي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 هو الظاهر من كلامه في موارد</w:t>
      </w:r>
      <w:r>
        <w:rPr>
          <w:rStyle w:val="FootnoteAnchor"/>
          <w:rtl w:val="true"/>
        </w:rPr>
        <w:footnoteReference w:id="38"/>
      </w:r>
      <w:r>
        <w:rPr>
          <w:rFonts w:ascii="Amiri" w:hAnsi="Amiri" w:eastAsia="Amiri" w:cs="Amiri"/>
          <w:color w:val="111111"/>
          <w:sz w:val="28"/>
          <w:sz w:val="28"/>
          <w:szCs w:val="28"/>
          <w:rtl w:val="true"/>
          <w:lang w:bidi="ar-SA"/>
        </w:rPr>
        <w:t xml:space="preserve">، و المعروف من مذهبه، و إن أوهم خلافه ما صرّح به في ذيل قول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القول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كلام المحقّق يرجع إلى مختاره لو كان مراده من دليل الحكم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تمثيله بعقد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المقتضي، و يكون حكم الشكّ في وجود الرافع حكم الشكّ في رافعيّة الشي‌ء</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مراد المُحقّق من المُقتضي هو الذي في باب الأسباب و المُسبّبات الشرعيّة، كعقد النكاح المُقتضي للحلّية، و مرادَه من الرافع هو رافع هذا الاقتضاء، كما هو صريح ذيل كلامه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الإمام الفقيه أبو القاسم جعفر بن الحسن بن أبي زكريا يحيى بن سعيد الهذلي الحلّي، ولد سنة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نشأ في بيت عريق في العلم باذخ بالمجد، أخذ الفقه عن والده الشيخ الحسن بن يحيى، و السيد شمس الدين فخار بن معد الموسوي، و الشيخ الفقيه نجيب الدين محمّد بن جعفر بن نما الحلّي الربعي، و السيد نجم الدين محمّد بن زهرة و آخرين، و تفقّه به أعاظم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العلّامة الشيخ الحسن بن يوسف بن المطهر الحلّي، و الشيخ الحسن بن داود الحلّي، و العلّامة الأديب صفي الدين الحلي، و جلال الدين محمّد بن محمّد الكوفي الهاشمي الحارثي، توفّي في شهر ربيع الآخر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ترك آثاراً جليلة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 في اصول الفقه، نهج الوصول إلى علم الاصول، شرائع الإسلام، النافع في مختصر الشرائع، المسلك في اصول الدين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قاموس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هذا الذيل يمكن أن يكون قرينة على أنَّ مراده من دليل الحكم في الصدر هو المُقتضي كما أفاد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كلام المُحقّق إلى مختار الشيخ لكان مراده أيضاً من المقتضي هو الذي في باب الأسباب و المُسبّبات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الظاهر من كلامه في ذيل أخبار الاستصحاب ما هو المعروف</w:t>
      </w:r>
    </w:p>
    <w:p>
      <w:pPr>
        <w:pStyle w:val="BookText"/>
        <w:rPr/>
      </w:pPr>
      <w:r>
        <w:rPr>
          <w:rFonts w:ascii="IRNazanin" w:hAnsi="IRNazanin" w:eastAsia="IRNazanin"/>
          <w:color w:val="111111"/>
          <w:sz w:val="28"/>
          <w:sz w:val="28"/>
          <w:szCs w:val="28"/>
          <w:rtl w:val="true"/>
          <w:lang w:bidi="fa-IR"/>
        </w:rPr>
        <w:t xml:space="preserve">من مذهبه </w:t>
      </w:r>
      <w:r>
        <w:rPr>
          <w:rStyle w:val="FootnoteAnchor"/>
          <w:rtl w:val="true"/>
        </w:rPr>
        <w:footnoteReference w:id="41"/>
      </w:r>
      <w:r>
        <w:rPr>
          <w:rFonts w:ascii="Amiri" w:hAnsi="Amiri" w:eastAsia="Amiri" w:cs="Amiri"/>
          <w:color w:val="111111"/>
          <w:sz w:val="28"/>
          <w:sz w:val="28"/>
          <w:szCs w:val="28"/>
          <w:rtl w:val="true"/>
          <w:lang w:bidi="ar-SA"/>
        </w:rPr>
        <w:t>، فبناءً عليه لا يرجع كلام الشيخ إلى كلام المُحقّق فإنَّ المحقّق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إلى إنكار الاستصحاب مطلقاً إن كان مراده من دليل الحكم هو إطلاق الأدلّة أو عمومها، و من الشكّ في الرافعيّة هو الشكّ في التقييد أو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مراده من المُقتضي و الرافع هو قاعدة المُقتضي و المانع كما حمل الشيخ كلامه عليه أوّلًا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إجراء الاستصحاب فيما إذا كان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السبب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اقتضى المُسبّب مُطلقاً، كعقد النكاح الذي اقتضى الحلّية مُطلقاً، و شك في ألفاظ أنّها رافعة له أم لا، فيستصحب حكم المُقتضي إلى أن يعلم الرافع، و لا يرجع شي‌ء ممّا ذكر إلى ظاهر كلام الشيخ و ما هو المعروف من مذهبه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أفاده بعض أعاظم العصر رحمه اللَّه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التأمّل في كلام المُحقّق و الشيخ يعطي أنَّ مرادهما من المُقتضي هو مقدار استعداد المُستصحب </w:t>
      </w:r>
      <w:r>
        <w:rPr>
          <w:rStyle w:val="FootnoteAnchor"/>
          <w:rtl w:val="true"/>
        </w:rPr>
        <w:footnoteReference w:id="44"/>
      </w:r>
      <w:r>
        <w:rPr>
          <w:rFonts w:ascii="Amiri" w:hAnsi="Amiri" w:eastAsia="Amiri" w:cs="Amiri"/>
          <w:color w:val="111111"/>
          <w:sz w:val="28"/>
          <w:sz w:val="28"/>
          <w:szCs w:val="28"/>
          <w:rtl w:val="true"/>
          <w:lang w:bidi="ar-SA"/>
        </w:rPr>
        <w:t xml:space="preserve">ناش من عدم التأمّل في كلام المُحقّق، فراجع كلامه المنقول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مراده من</w:t>
      </w:r>
    </w:p>
    <w:p>
      <w:pPr>
        <w:pStyle w:val="BookText"/>
        <w:rPr/>
      </w:pPr>
      <w:r>
        <w:rPr>
          <w:rFonts w:ascii="Amiri" w:hAnsi="Amiri" w:eastAsia="Amiri" w:cs="Amiri"/>
          <w:color w:val="111111"/>
          <w:sz w:val="28"/>
          <w:sz w:val="28"/>
          <w:szCs w:val="28"/>
          <w:rtl w:val="true"/>
          <w:lang w:bidi="ar-SA"/>
        </w:rPr>
        <w:t xml:space="preserve">المحقّق هو الخوانساري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المحقق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الحسين بن جمال الدين محمّد بن الحسين الخوانساري الأصفهاني، فقيه متضلّع، و متكلّم محقّق، و حكيم كبير، مشهور الاسم، بعيد الصيت، حسن الشعر و الإنشاء بالعربية و الفارسية، انتهت رئاسة الشيعة في زمانه إليه، ولد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 تلامذة أجلاء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الشيخ جمال الدين محمّد، و أخوه رضي الدين محمّد، و المدقق الشيرواني، و المولى محمّد بن عبد الفتاح التنكابني و له مؤلّفات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الشموس في شرح الدروس، الجواهر و الأعراض، حاشية على شرح الإشارات، رسالة في التشكيك، تفسير سورة الفاتحة،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أعيان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لكنّه خلاف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توهّم أمراً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لو كان المُراد من المُقتضي هو ملاك الأحكام أو المُقتضي في باب الأسباب و المُسبّبات بحسب الجعل الشرعيّ تأسيساً أو إمضاء، للزم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جريان الاستصحاب في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باب جريان الاستصحاب مُطلقاً، و هو مساوق للقول بعدم الحُجّية مطلقاً؛ فإنَّه لا طريق إلى إحراز وجود ملاك الحكم، أو إحراز بقاء المُقتضيات الشرعيّة في باب الأسباب و المُسبّبات لمن لا يوحى إليه إلّا من طريق الأدلّة الشرعيّة؛ فإنَّه لا يمكن إثبات كون الوضوء المُتعقّب بالمذي، و النكاح المُتعقّب بقول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مقتضيين لبقاء الطهارة و علقة الزوجيّة، فما من مورد إلّا و يشكّ في المُقتضي بأحد الوجهين </w:t>
      </w:r>
      <w:r>
        <w:rPr>
          <w:rStyle w:val="FootnoteAnchor"/>
          <w:rtl w:val="true"/>
        </w:rPr>
        <w:footnoteReference w:id="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خبير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الاقتضاء بالمعنى المعروف من الشيخ لا طريق إلى إحرازه في الأحكام الشرعيّة أيضاً إلّا من قبل الدليل الشرعيّ، كما اعترف به فيما بعد، فلو دلّ الدليل الشرعيّ على أنَّ الحكم الفلاني مستمرّ ذاتاً لو لا الرافع إلى الأبد، أو إلى غاية كذائيّة، يستكشف منه المُقتضي بمعنى الملاك، فلا يكون الشكّ حينئذٍ في بقائه من قبيل الشكّ في المقتضي، لا بالمعنى المعروف، و لا بمعنى الملاك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يكون حكم إلّا عن ملاك، فأصل الحكم يكشف عن أصل</w:t>
      </w:r>
      <w:bookmarkStart w:id="53" w:name="pg2245_12645"/>
    </w:p>
    <w:p>
      <w:pPr>
        <w:pStyle w:val="BookText"/>
        <w:rPr/>
      </w:pPr>
      <w:bookmarkEnd w:id="53"/>
      <w:r>
        <w:rPr>
          <w:rFonts w:ascii="Amiri" w:hAnsi="Amiri" w:eastAsia="Amiri" w:cs="Amiri"/>
          <w:color w:val="111111"/>
          <w:sz w:val="28"/>
          <w:sz w:val="28"/>
          <w:szCs w:val="28"/>
          <w:rtl w:val="true"/>
          <w:lang w:bidi="ar-SA"/>
        </w:rPr>
        <w:t>الملاك، و استمراره عن استمراره، و كذا الاقتضاء في باب الأسباب و المُسبّبات إنّما يستكشف من الأدلّة الشرعيّة، فكما أنَّ إحراز المُقتضي للبقاء و مقدار استعداد المُستصحب في الأحكام يحتاج إلى الدليل، كذلك إحرازه بالمعنيين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بأيّ معنىً كان لا يوجب سدّ باب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الشكّ في الرافع، كما اتّضح أنَّ المُقتضي في كلام المُحقّق غير ما هو المعروف من مذهب الشيخ</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613919_3804643083"/>
      <w:bookmarkStart w:id="55" w:name="_Toc20"/>
      <w:bookmarkEnd w:id="54"/>
      <w:r>
        <w:rPr>
          <w:rtl w:val="true"/>
        </w:rPr>
        <w:t>في ذكر أخبار الاستصحاب</w:t>
      </w:r>
      <w:bookmarkEnd w:id="55"/>
    </w:p>
    <w:p>
      <w:pPr>
        <w:pStyle w:val="Heading4"/>
        <w:numPr>
          <w:ilvl w:val="3"/>
          <w:numId w:val="1"/>
        </w:numPr>
        <w:rPr/>
      </w:pPr>
      <w:bookmarkStart w:id="56" w:name="__RefHeading___Toc1613921_3804643083"/>
      <w:bookmarkStart w:id="57" w:name="_Toc21"/>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إذا عرفت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اعتمد عليه الشيخ في التفصيل المذكور هو دعوى ظهور أخبار الباب فيه </w:t>
      </w:r>
      <w:r>
        <w:rPr>
          <w:rStyle w:val="FootnoteAnchor"/>
          <w:rtl w:val="true"/>
        </w:rPr>
        <w:footnoteReference w:id="47"/>
      </w:r>
      <w:r>
        <w:rPr>
          <w:rFonts w:ascii="Amiri" w:hAnsi="Amiri" w:eastAsia="Amiri" w:cs="Amiri"/>
          <w:color w:val="111111"/>
          <w:sz w:val="28"/>
          <w:sz w:val="28"/>
          <w:szCs w:val="28"/>
          <w:rtl w:val="true"/>
          <w:lang w:bidi="ar-SA"/>
        </w:rPr>
        <w:t>فلا بد من ذكرها، و تذييل كلّ منها بما يناسبه، و ما يمكن أن يكون مستنداً له</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613923_3804643083"/>
      <w:bookmarkStart w:id="59" w:name="_Toc22"/>
      <w:bookmarkEnd w:id="58"/>
      <w:r>
        <w:rPr>
          <w:rtl w:val="true"/>
        </w:rPr>
        <w:t>[</w:t>
      </w:r>
      <w:r>
        <w:rPr>
          <w:rtl w:val="true"/>
        </w:rPr>
        <w:t>فمنها</w:t>
      </w:r>
      <w:r>
        <w:rPr>
          <w:rtl w:val="true"/>
        </w:rPr>
        <w:t xml:space="preserve">: </w:t>
      </w:r>
      <w:r>
        <w:rPr>
          <w:rtl w:val="true"/>
        </w:rPr>
        <w:t>صحيحة الاولى لزرارة</w:t>
      </w:r>
      <w:r>
        <w:rPr>
          <w:rtl w:val="true"/>
        </w:rPr>
        <w:t>]</w:t>
      </w:r>
      <w:bookmarkEnd w:id="59"/>
    </w:p>
    <w:p>
      <w:pPr>
        <w:pStyle w:val="Heading5"/>
        <w:numPr>
          <w:ilvl w:val="4"/>
          <w:numId w:val="1"/>
        </w:numPr>
        <w:rPr/>
      </w:pPr>
      <w:bookmarkStart w:id="60" w:name="__RefHeading___Toc1613925_3804643083"/>
      <w:bookmarkStart w:id="61" w:name="_Toc23"/>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عن محمّد بن الحسن </w:t>
      </w:r>
      <w:r>
        <w:rPr>
          <w:rStyle w:val="FootnoteAnchor"/>
          <w:rtl w:val="true"/>
        </w:rPr>
        <w:footnoteReference w:id="48"/>
      </w:r>
      <w:r>
        <w:rPr>
          <w:rFonts w:ascii="Amiri" w:hAnsi="Amiri" w:eastAsia="Amiri" w:cs="Amiri"/>
          <w:color w:val="111111"/>
          <w:sz w:val="28"/>
          <w:sz w:val="28"/>
          <w:szCs w:val="28"/>
          <w:rtl w:val="true"/>
          <w:lang w:bidi="ar-SA"/>
        </w:rPr>
        <w:t>بإسناده عن الحسين بن</w:t>
      </w:r>
    </w:p>
    <w:p>
      <w:pPr>
        <w:pStyle w:val="BookText"/>
        <w:rPr/>
      </w:pPr>
      <w:r>
        <w:rPr>
          <w:rFonts w:ascii="Amiri" w:hAnsi="Amiri" w:eastAsia="Amiri" w:cs="Amiri"/>
          <w:color w:val="111111"/>
          <w:sz w:val="28"/>
          <w:sz w:val="28"/>
          <w:szCs w:val="28"/>
          <w:rtl w:val="true"/>
          <w:lang w:bidi="ar-SA"/>
        </w:rPr>
        <w:t>سعيد</w:t>
      </w:r>
      <w:r>
        <w:rPr>
          <w:rStyle w:val="FootnoteAnchor"/>
          <w:rtl w:val="true"/>
        </w:rPr>
        <w:footnoteReference w:id="49"/>
      </w:r>
      <w:r>
        <w:rPr>
          <w:rFonts w:ascii="Amiri" w:hAnsi="Amiri" w:eastAsia="Amiri" w:cs="Amiri"/>
          <w:color w:val="111111"/>
          <w:sz w:val="28"/>
          <w:sz w:val="28"/>
          <w:szCs w:val="28"/>
          <w:rtl w:val="true"/>
          <w:lang w:bidi="ar-SA"/>
        </w:rPr>
        <w:t>عن حمّاد</w:t>
      </w:r>
      <w:r>
        <w:rPr>
          <w:rStyle w:val="FootnoteAnchor"/>
          <w:rtl w:val="true"/>
        </w:rPr>
        <w:footnoteReference w:id="50"/>
      </w:r>
      <w:r>
        <w:rPr>
          <w:rFonts w:ascii="Amiri" w:hAnsi="Amiri" w:eastAsia="Amiri" w:cs="Amiri"/>
          <w:color w:val="111111"/>
          <w:sz w:val="28"/>
          <w:sz w:val="28"/>
          <w:szCs w:val="28"/>
          <w:rtl w:val="true"/>
          <w:lang w:bidi="ar-SA"/>
        </w:rPr>
        <w:t>عن حَريز</w:t>
      </w:r>
      <w:r>
        <w:rPr>
          <w:rStyle w:val="FootnoteAnchor"/>
          <w:rtl w:val="true"/>
        </w:rPr>
        <w:footnoteReference w:id="51"/>
      </w:r>
      <w:r>
        <w:rPr>
          <w:rFonts w:ascii="Amiri" w:hAnsi="Amiri" w:eastAsia="Amiri" w:cs="Amiri"/>
          <w:color w:val="111111"/>
          <w:sz w:val="28"/>
          <w:sz w:val="28"/>
          <w:szCs w:val="28"/>
          <w:rtl w:val="true"/>
          <w:lang w:bidi="ar-SA"/>
        </w:rPr>
        <w:t>عن زُرارة</w:t>
      </w:r>
      <w:r>
        <w:rPr>
          <w:rStyle w:val="FootnoteAnchor"/>
          <w:rtl w:val="true"/>
        </w:rPr>
        <w:footnoteReference w:id="52"/>
      </w:r>
    </w:p>
    <w:p>
      <w:pPr>
        <w:pStyle w:val="BookText"/>
        <w:rPr/>
      </w:pP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و هو على وضوء، أ توجب الخفقة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الخفقتان عليه الوضوء؟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قد تنام العين و لا ينام القلب و الاذن، و إذا نامت العين و الاذن و القلب وجب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إلى جنبه شي‌ء و لم يعلم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 أنَّه قد نام، حتّى يجي‌ء من ذلك أمرٌ بيّن، و إلّا فإنَّه على يقين من وضوئه، و لا ينقض اليقين أبداً بالشكّ، و إنّما ينقضه بيقين آخر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لزرارة كانت أوّلًا شبهة حكميّة، و لم يعلم أنَّ الخفقة و الخفقتين تنقضان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للشكّ في مفهوم النوم، و أنه هل يشمل الخفقة و الخفقتين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للشكّ في كونهما ناقضتين مُستقلّتين مع علمه بعدم دخولهما تحت عنوان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للشكّ في أنَّ النوم الناقض هل هو النوم الغالب على الحواسّ، أو الأعمّ منه و من الخفقة و الخفقتين اللتين هما من المراتب الضعيفة للنوم، مع القطع بدخولهما تحت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أنَّه تحقّق منه النوم حقيقة، و لكن لا يعلم أنَّ النوم الناقض ما هو، و إمّا أنَّه دخل في فراش النوم و اضطجع فيه و تهيّأ له؛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الشبهة في الفقرة الاولى حكميّة و أجاب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النوم الغالب على العين و القلب و الاذن موجب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حدثت شبهة اخرى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النوم الغالب على تلك الحواسّ ممّا لا سبيل له إليه إلّا بالأمارات، فذكر بعض الأمارات الظنّية، مثل حركة شي‌ء إلى جنبه، و أنّها أمارة شرعيّة على النوم في صورة الشكّ في تحقّق النوم أو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يستيقن أنَّه قد نام، و يجي‌ء من ذلك أمرٌ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فإنَّه على يقين من وضوئه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ففيه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الجزاء محذوف؛ أي إن لم يستيقن أنَّه قد نام فلا يجب عليه الوضوء،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على يقين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صغرى و كبرى و تعليل للجزاء</w:t>
      </w:r>
      <w:r>
        <w:rPr>
          <w:rStyle w:val="FootnoteAnchor"/>
          <w:rtl w:val="true"/>
        </w:rPr>
        <w:footnoteReference w:id="54"/>
      </w:r>
      <w:r>
        <w:rPr>
          <w:rFonts w:ascii="IRNazanin" w:hAnsi="IRNazanin" w:eastAsia="IRNazanin"/>
          <w:color w:val="111111"/>
          <w:sz w:val="28"/>
          <w:sz w:val="28"/>
          <w:szCs w:val="28"/>
          <w:rtl w:val="true"/>
          <w:lang w:bidi="fa-IR"/>
        </w:rPr>
        <w:t>، و هذا</w:t>
      </w:r>
    </w:p>
    <w:p>
      <w:pPr>
        <w:pStyle w:val="BookText"/>
        <w:rPr/>
      </w:pPr>
      <w:r>
        <w:rPr>
          <w:rFonts w:ascii="Amiri" w:hAnsi="Amiri" w:eastAsia="Amiri" w:cs="Amiri"/>
          <w:color w:val="111111"/>
          <w:sz w:val="28"/>
          <w:sz w:val="28"/>
          <w:szCs w:val="28"/>
          <w:rtl w:val="true"/>
          <w:lang w:bidi="ar-SA"/>
        </w:rPr>
        <w:t xml:space="preserve">اظهر الاحتمالات، و يستفاد منها حينئذٍ قاعدة كلّية؛ بدعوى أنَّ الظاهر منه كونه بصدد بيان قاعدة كلّية، و ذكر الوضوء إنّما هو لكونه مورد السؤال، لا لدخله في موضوع الحكم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الشكّ في قيديّته لا ترفع اليد عن ظاهر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أبداً بالشكّ</w:t>
      </w:r>
      <w:r>
        <w:rPr>
          <w:rFonts w:eastAsia="Amiri" w:cs="Amiri" w:ascii="Amiri" w:hAnsi="Amiri"/>
          <w:color w:val="111111"/>
          <w:sz w:val="28"/>
          <w:szCs w:val="28"/>
          <w:rtl w:val="true"/>
          <w:lang w:bidi="ar-SA"/>
        </w:rPr>
        <w:t>)</w:t>
      </w:r>
    </w:p>
    <w:p>
      <w:pPr>
        <w:pStyle w:val="BookText"/>
        <w:rPr/>
      </w:pP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الخدشة في الدعويين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إلقاء القاعدة الكلّية المستفادة من اختلاف المعلول و العلّة في المقام لا يقتضي السراية لغير باب الوضوء، و يصحّ التعليل و القياس بعد كون المورد ناقضاً واحداً هو النوم، فإلقاء القاعدة الكلّية لإفادة تمام موارد 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وجيهة؛ لأنَّ الكلام المحفوف بما يصلح للقرينيّة لا يمكن فهم القاعدة الكلّية منه، و إن شكّ في قرينيّة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الأخذ بالإطلاق مع الشكّ في قرينيّة ما يحفّ بالكلام، و أمّا إلغاء الخصوصيّة بمناسبة الحكم و الموضوع </w:t>
      </w:r>
      <w:r>
        <w:rPr>
          <w:rStyle w:val="FootnoteAnchor"/>
          <w:rtl w:val="true"/>
        </w:rPr>
        <w:footnoteReference w:id="57"/>
      </w:r>
      <w:r>
        <w:rPr>
          <w:rFonts w:ascii="Amiri" w:hAnsi="Amiri" w:eastAsia="Amiri" w:cs="Amiri"/>
          <w:color w:val="111111"/>
          <w:sz w:val="28"/>
          <w:sz w:val="28"/>
          <w:szCs w:val="28"/>
          <w:rtl w:val="true"/>
          <w:lang w:bidi="ar-SA"/>
        </w:rPr>
        <w:t>فهو حقّ سيأتي بيانه 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هاهنا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الظاهر على هذا الاحتمال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صغرى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الإمام عليه السلام إجراء استصحاب الوضوء، مع أنَّه محكوم باستصحاب عدم النوم الناقض؛ لأنَّ الشكّ في الوضوء ناش من الشكّ في حصول الناقض، و أصالة عدم حصوله مقدّمة على استصحاب الوضوء</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الظاهر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يستيقن أنَّه قد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تمسّك بأصالة عدم النوم، مع أنَّ جريان الأصل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على الحاكم أو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عليه السلام كان بصدد بيان جواب المسألة؛ أي شبهة نقض الوضوء و عدمه، لا بنحو الصناعة العلميّة، و أنَّ نكتة عدم وجوب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كونه على يقين من وضوئه و يقين من عدم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جريان الأصل الحاكم أو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زائداً على جواب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ليس مُختصّاً بباب الوضوء، بل الميزان هو عدم نقض اليقين بالشكّ، و هذا كجواب المُفتي للمستفتي في نظير المسألة، مع إرادة المُفتي إلقاء قاعدة كلّية تفيده في جميع الموارد، لا بيان المسألة العلميّة، و كيفيّة جريان الاصول، و تمييز حاكمها من محكومها، فلا محيص حينئذٍ إلّا من بيان نتيجة المسألة؛ و أنَّ الوضوء المتيقّن لا ينقض بالشكّ في النوم، و أمّا كون عدم نقضه لجريان أصالة بقاء الطهارة، أو أصالة عدم الناقض للوضوء، فهو أمر غير مرتبط بالمستفتي؛ فإنَّ منظوره بيان تكليفه من حيث لزوم الإعادة و عدمه، لا الدليل عليه موافقاً للصناعة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النوم و الوضوء ضدّان، و أصالة عدم الضدّ لا تثبت الضدّ الآخر، فلا محيص إلّا من إجراء استصحاب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النوم من النواقض الشرعيّة للوضوء، لا من الأضداد التكوينيّة، فالتعبّد بعدم تحقّق الناقض للوضوء تعبّد ببقاء الوضوء شرعاً، و يرفع الشكّ ببقاء الوضوء تأمّل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الرواية على هذا الاحتمال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إن لم يستيقن أنَّه قد نام فلا يجب عليه الوضوء؛ لأنَّه على يقين منه، و كلّ من كان على يقين من شي‌ء لا ينقض يقينه بالشكّ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أقرب الاحتمالات، أن يكون الجزاء المُقدّر غير ما ذكره الشيخ </w:t>
      </w:r>
      <w:r>
        <w:rPr>
          <w:rStyle w:val="FootnoteAnchor"/>
          <w:rtl w:val="true"/>
        </w:rPr>
        <w:footnoteReference w:id="60"/>
      </w:r>
      <w:r>
        <w:rPr>
          <w:rFonts w:ascii="Amiri" w:hAnsi="Amiri" w:eastAsia="Amiri" w:cs="Amiri"/>
          <w:color w:val="111111"/>
          <w:sz w:val="28"/>
          <w:sz w:val="28"/>
          <w:szCs w:val="28"/>
          <w:rtl w:val="true"/>
          <w:lang w:bidi="ar-SA"/>
        </w:rPr>
        <w:t>و يكون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راجعاً إلى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وجب قبل الاستيقان لزم 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قرينة على المُقدّر، و بيان لفساد نقض اليقين بالشكّ و لزومه أيضاً، و عليه تكون استفادة الكلّية أقرب و أوفق بفهم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الجزاء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بدّ من تقدير،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البناء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ذلك كناية عن لزوم البناء العمليّ على اليقين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القول بأنَّ الجزاء هو نفس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تقدير بتأويل الجملة الخبرية إلى الإنشائيّة</w:t>
      </w:r>
      <w:r>
        <w:rPr>
          <w:rStyle w:val="FootnoteAnchor"/>
          <w:rtl w:val="true"/>
        </w:rPr>
        <w:footnoteReference w:id="62"/>
      </w:r>
      <w:r>
        <w:rPr>
          <w:rFonts w:ascii="Amiri" w:hAnsi="Amiri" w:eastAsia="Amiri" w:cs="Amiri"/>
          <w:color w:val="111111"/>
          <w:sz w:val="28"/>
          <w:sz w:val="28"/>
          <w:szCs w:val="28"/>
          <w:rtl w:val="true"/>
          <w:lang w:bidi="ar-SA"/>
        </w:rPr>
        <w:t>، فهو في غاية الضعف؛ فإنَّ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صدر بداعي الإنشاء يصير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فليحصِّل اليقين بالوضوء مع أنَّ البعث إلى تحصيله خلاف المقصود، أو يكون المُراد إنشاء تحقّق اليقين في زمان الشكّ اعتباراً و تعبّداً، فلا يتناسب مع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لأنَّ اعتبار إلغاء الشكّ مع اعتبار بقائه متضادّان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تأويل هذه الإخباريّة إلى الإنشائيّة لا يوجب أن 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يجب البناء العمليّ على طبق اليقين بالوضوء</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كما يظهر بالتأمّل في أمثالها من الجمل الخبريّة الصادرة بداعي الإنشاء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ادعاه بعض أعاظم العصر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الإشكال في كون الجزاء هو</w:t>
      </w:r>
    </w:p>
    <w:p>
      <w:pPr>
        <w:pStyle w:val="BookText"/>
        <w:rPr/>
      </w:pPr>
      <w:r>
        <w:rPr>
          <w:rFonts w:ascii="IRNazanin" w:hAnsi="IRNazanin" w:eastAsia="IRNazanin"/>
          <w:color w:val="111111"/>
          <w:sz w:val="28"/>
          <w:sz w:val="28"/>
          <w:szCs w:val="28"/>
          <w:rtl w:val="true"/>
          <w:lang w:bidi="fa-IR"/>
        </w:rPr>
        <w:t>نفس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بتأويل الجملة الإخباريّة إلى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جعل الاحتمال المُتقدّم ضعيفاً غايته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يصغى إليه؛ فإنَّه مع كونه خلاف الظاهر، يرد عليه الإشكال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جعلنا الجزاء ما ذكر بنحو التقدير، أو بجعل الخبريّة إنشائية، لا يمكن استفادة الكبرى الكلّية من الرواية؛ فإنَّ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حينئذٍ يصير عطفاً على الجزاء، و لا يفيد إلّا مفاده؛ أي يكون عبارة اخرى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البناء على طبق اليقين بالوضوء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يصحّ جعله كبرى كلّية؛ للخروج عن قانون المحاورة و طرز الاستدلال؛ فإنَّ قانون الاستدلال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المُتقدّمتين ثمّ الاستنتاج،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مسكر، و كلّ مسكر حرام، فالخمر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على يقين من وضوئه فشكّ، و كلّ من كان على يقين من شي‌ء فشكّ يجب البناء على يقينه، فيجب عليه البناء على يقينه من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النتيجة أوّلًا، ثمّ الاستدلال عليها، و حينئذ لا بدّ من تخلل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 لأنَّه مسكر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البناء على اليقين بالوضوء؛ لأنَّه من كان كذلك لا ينقض يقينه بالشكّ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جعلنا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جزاء، 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يجب 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البناء العمليّ على يقينه السابق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نتيجة البرهان،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برهاناً عليها لا بدّ و أن يصدّر بما يفيد العلّية، فجعل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صغرى للكبرى </w:t>
      </w:r>
      <w:r>
        <w:rPr>
          <w:rStyle w:val="FootnoteAnchor"/>
          <w:rtl w:val="true"/>
        </w:rPr>
        <w:footnoteReference w:id="65"/>
      </w:r>
      <w:r>
        <w:rPr>
          <w:rFonts w:ascii="Amiri" w:hAnsi="Amiri" w:eastAsia="Amiri" w:cs="Amiri"/>
          <w:color w:val="111111"/>
          <w:sz w:val="28"/>
          <w:sz w:val="28"/>
          <w:szCs w:val="28"/>
          <w:rtl w:val="true"/>
          <w:lang w:bidi="ar-SA"/>
        </w:rPr>
        <w:t>لا يجتمع مع جعله جزاء للشرط و جملة إنشائيّة</w:t>
      </w:r>
      <w:r>
        <w:rPr>
          <w:rStyle w:val="FootnoteAnchor"/>
          <w:rtl w:val="true"/>
        </w:rPr>
        <w:footnoteReference w:id="66"/>
      </w:r>
      <w:r>
        <w:rPr>
          <w:rFonts w:ascii="Amiri" w:hAnsi="Amiri" w:eastAsia="Amiri" w:cs="Amiri"/>
          <w:color w:val="111111"/>
          <w:sz w:val="28"/>
          <w:sz w:val="28"/>
          <w:szCs w:val="28"/>
          <w:rtl w:val="true"/>
          <w:lang w:bidi="ar-SA"/>
        </w:rPr>
        <w:t>فإنَّه على الإنشائيّة يصير نتيجة للبرهان، لا صغرى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المُحقّق المُتقدّم؛ حيث جمع بين القولين غفلةً عمّا يلزمه، و أعجب منه أنَّه جعل ما قوّاه الشيخ ضعيفاً؛ للزوم التكرار في الجواب من غير تكرّر السؤال </w:t>
      </w:r>
      <w:r>
        <w:rPr>
          <w:rStyle w:val="FootnoteAnchor"/>
          <w:rtl w:val="true"/>
        </w:rPr>
        <w:footnoteReference w:id="67"/>
      </w:r>
      <w:r>
        <w:rPr>
          <w:rFonts w:ascii="Amiri" w:hAnsi="Amiri" w:eastAsia="Amiri" w:cs="Amiri"/>
          <w:color w:val="111111"/>
          <w:sz w:val="28"/>
          <w:sz w:val="28"/>
          <w:szCs w:val="28"/>
          <w:rtl w:val="true"/>
          <w:lang w:bidi="ar-SA"/>
        </w:rPr>
        <w:t xml:space="preserve">، مع أنَّ هذا الإشكال إنّما يلزم على احتماله؛ فإنَّ مُقتضى إنشائيّة الجملة أن 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يجب 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تكرار بلا مُوجب، و أمّا على احتمال الشيخ فلم يذكر الجواب، و ذكر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توطئة لإقامة البرهان و بيان القاعدة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فالاحتمال المذكور أسوأ الاحتمالات و أضعفها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الجزاء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أبداً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توطئة للجواب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الاحتمال أقوى من الثاني، و أسلم من الإشكالات، و لا يرد عليه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إجراء الأصل المُسبّبيّ مع وجود الأصل السببيّ </w:t>
      </w:r>
      <w:r>
        <w:rPr>
          <w:rStyle w:val="FootnoteAnchor"/>
          <w:rtl w:val="true"/>
        </w:rPr>
        <w:footnoteReference w:id="69"/>
      </w:r>
      <w:r>
        <w:rPr>
          <w:rFonts w:ascii="Amiri" w:hAnsi="Amiri" w:eastAsia="Amiri" w:cs="Amiri"/>
          <w:color w:val="111111"/>
          <w:sz w:val="28"/>
          <w:sz w:val="28"/>
          <w:szCs w:val="28"/>
          <w:rtl w:val="true"/>
          <w:lang w:bidi="ar-SA"/>
        </w:rPr>
        <w:t>لأنَّ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أبداً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حينئذٍ كبرى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بل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يستيقن أنَّه قد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 المفهوم منه أنَّه على يقين من عدم النوم، مع كونه مفروضاً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لكنّه أيضاً خلاف الظاهر؛ لخلوّ الجزاء عن الفاء، و تصدير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بلا وجه، و كون التوطئة خلاف الاسلوب الكلاميّ، و احتياج ارتباط الشرط و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يستيقن أنَّه قد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الجزاء إلى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هذين الاحتمالين و إن لم يحمل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الكبرى الكلّية كما أشرنا إليه، لكن يمكن استفادة الكلّية؛ بإلغاء الخصوصيّة عرفاً، و مُناسبة الحكم و الموضوع؛ ضرورة أنَّ العرف يرى أنَّ اليقين لكونه مُبرماً مُستحكماً لا ينقض بالشكّ</w:t>
      </w:r>
      <w:bookmarkStart w:id="62" w:name="pg2245_12653"/>
    </w:p>
    <w:p>
      <w:pPr>
        <w:pStyle w:val="BookText"/>
        <w:rPr/>
      </w:pPr>
      <w:bookmarkEnd w:id="62"/>
      <w:r>
        <w:rPr>
          <w:rFonts w:ascii="Amiri" w:hAnsi="Amiri" w:eastAsia="Amiri" w:cs="Amiri"/>
          <w:color w:val="111111"/>
          <w:sz w:val="28"/>
          <w:sz w:val="28"/>
          <w:szCs w:val="28"/>
          <w:rtl w:val="true"/>
          <w:lang w:bidi="ar-SA"/>
        </w:rPr>
        <w:t>الذي لا إبرام فيه و لا استحكام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 في مقام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من الكبرى ورودها لتقرير ما هو المرتكز في أذهان العقلاء، و استقرّت عليه طريقتهم </w:t>
      </w:r>
      <w:r>
        <w:rPr>
          <w:rStyle w:val="FootnoteAnchor"/>
          <w:rtl w:val="true"/>
        </w:rPr>
        <w:footnoteReference w:id="70"/>
      </w:r>
      <w:r>
        <w:rPr>
          <w:rFonts w:ascii="Amiri" w:hAnsi="Amiri" w:eastAsia="Amiri" w:cs="Amiri"/>
          <w:color w:val="111111"/>
          <w:sz w:val="28"/>
          <w:sz w:val="28"/>
          <w:szCs w:val="28"/>
          <w:rtl w:val="true"/>
          <w:lang w:bidi="ar-SA"/>
        </w:rPr>
        <w:t xml:space="preserve">فسيأتي ما فيه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1613927_3804643083"/>
      <w:bookmarkStart w:id="64" w:name="_Toc24"/>
      <w:bookmarkEnd w:id="63"/>
      <w:r>
        <w:rPr>
          <w:rtl w:val="true"/>
        </w:rPr>
        <w:t>تقريبات الأعلام في اختصاص حجّيّة الاستصحاب بالشكّ في الرافع</w:t>
      </w:r>
      <w:bookmarkEnd w:id="64"/>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الشيخ و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حُجّية الاستصحاب بالشكّ في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تقريبات في كيفيّة استفادته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كلامه في موضعين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للمحقّق الخوانساري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حقيقة النقض هي رفع الهيئة الاتصالية كما في نقض الحبل، و الأقرب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الأمر الثابت الذي له استعداد البقاء و الاستمرار، و قد يطلق على مُطلق رفع اليد عن الشي‌ء و لو لعدم المقتضي له، فالأرجح هو الحمل على رفع اليد عن الأمر المُستمرّ، فعلى هذا يتقيّد اليقين بما تعلّق بالأمر المُستمرّ، و المُراد من اليقين هو الطريقيّ لا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فمحصّل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ينقض المُتيقّن الثابت كالطهارة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اليقين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أحكام المتيقّن الكذائيّ المُستمرّ شأناً كنفس المُتيقّن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إمّا نقض المُتيقّن، و هو رفع اليد عن مُقتضاه، و إمّا نقض أحكام اليقين؛ أي الثابتة للمُتيقّن من جهة اليقين، و المُراد حينئذٍ منه رفع اليد عنها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بعض المحقّقين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انظر أعيان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نقباء البشر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النقض ضدّ الإبرام، و متعلّقه لا بدّ و أن يكون له اتّصال حقيقة أو ادّعاء، و معنى إضافة النقض إليه رفع الهيئة الاتّصاليّة، فإضافته إلى اليقين و العهد باعتبار أنَّ لهما نحو إبرام عقليّ، ينتقض ذلك الإبرام بعدم الالتزام بالعهد، و بالترديد في ذلك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 نقض اليقين بالشكّ رفع اليد عن آثار اليقين السابق حقيقة في زمان الشكّ، و هذا المعنى إنّما يتحقّق في القاعدة، و أمّا في الاستصحاب، فليست إضافة النقض إلى اليقين بلحاظ وجوده في السابق، بل هي باعتبار تحقّقه في زمان الشكّ بنحو من المُسامحة و الاعتبار؛ إذ لا ترفع اليد عن اليقين السابق في الاستصحاب أصلًا، و إنّما ترفع اليد عن حكمه في زمان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نقضاً لليقين، كما أنَّ الأخذ بالحالة السابقة ليس عملًا به، بل هو أخذ بأحد طرفي الاحتمال، فلا بدّ من تصحيح إضافة النقض إليه بالنسبة إلى زمان الشكّ من اعتبار وجود تقديريّ له؛ بحيث يصدق بهذه المُلاحظة أنَّ الأخذ بالحالة السابقة عمل باليقين، و رفع اليد عنه نقض 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 أنَّ تقدير اليقين مع قيام مقتضيه هيّن عرفاً، بل لوجوده التقديريّ حينئذٍ وجود تحقيقيّ يطلق عليه لفظ اليقين كثيراً في العرف؛ أ لا ترى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بيقيني، و أخذت بقول هذا الشخص الكاذب، و رفعت اليد عن يقيني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تقدير اليقين في موارد الشكّ في المُقتضي فبعيد جدّاً، بل لا يساعد عليه استعمال العرف أصلًا، فتعميم اليقين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ينقض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يعمّ مثل الفرض بعيد في الغاية</w:t>
      </w:r>
      <w:r>
        <w:rPr>
          <w:rStyle w:val="FootnoteAnchor"/>
          <w:rtl w:val="true"/>
        </w:rPr>
        <w:footnoteReference w:id="75"/>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أعاظم العصر على ما في تقريرات بحثه، و ملخّصه مع طوله بعد الإشكال على الشيخ بأنَّ المُراد باليقين ليس هو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المُراد من نقض اليقين نقضه بما أنَّه يستتبع الحركة على وفقه، فأخذ اليقين في الأخبار باعتبار كونه كاشفاً لا صفة، فعناية النقض إنّما تلحق اليقين من ناحية المُتيقّن، و لهذا تكون إضافته إلى اليقين شائعة، دون العلم و القطع؛ و ليس ذلك إلّا لأنّهما يُستعملان غالباً في مقابل الظنّ و الشكّ، بخلاف اليقين؛ فإنَّ إطلاقه غالباً بلحاظ ما يستتبعه من الجري على ما يقتضي المُتيقّن، فتختصّ أخبار الباب بما إذا كان المُتيقّن ممّا يقتضي الجري العمليّ على طبقه؛ بحيث لو خلّي و طبعه لكان يبقى العمل على وفق اليقين ببقاء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يتوقّف على أن يكون للمُتيقّن اقتضاء البقاء؛ فإنَّه في مثل ذلك يصحّ ورود النقض على اليقين بعناية المُتيقّن، و يصدق عليه نقض اليقين بالشكّ، بخلاف غيره؛ فإنَّ الجري العمليّ فيه بنفسه ينتقض، و لا تصح هذه العناية فيه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بتقريب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صدق نقض اليقين بالشكّ على أن يكون زمان الشكّ ممّا تعلّق به اليقين في زمان حدوثه؛ بمعنى أنَّ الزمان الذي يشكّ في بقاء المتيقّن فيه كان مُتعلق اليقين عند حدوثه، و هذا إنّما يتمّ إذا كان المتيقّن مرسلًا بحسب الزمان؛ لكي يكون اليقين بوجوده من أوّل الأمر محدوداً بزمان خاصّ، و مقيّداً بوقت مخصوص، و إلّا ففيما بعد ذلك الحدّ يكون المتيقّن مشكوك الوجود من أوّل الأمر، فلا يكون من نقض اليقين بالشكّ </w:t>
      </w:r>
      <w:r>
        <w:rPr>
          <w:rStyle w:val="FootnoteAnchor"/>
          <w:rtl w:val="true"/>
        </w:rPr>
        <w:footnoteReference w:id="7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65" w:name="pg2245_12656"/>
    </w:p>
    <w:p>
      <w:pPr>
        <w:pStyle w:val="Heading5"/>
        <w:numPr>
          <w:ilvl w:val="4"/>
          <w:numId w:val="1"/>
        </w:numPr>
        <w:rPr/>
      </w:pPr>
      <w:bookmarkStart w:id="66" w:name="__RefHeading___Toc1613929_3804643083"/>
      <w:bookmarkStart w:id="67" w:name="_Toc25"/>
      <w:bookmarkEnd w:id="65"/>
      <w:bookmarkEnd w:id="66"/>
      <w:r>
        <w:rPr>
          <w:rtl w:val="true"/>
        </w:rPr>
        <w:t>تحقيق الحقّ في الشكّ في الرافع و المقتضي</w:t>
      </w:r>
      <w:bookmarkEnd w:id="6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بيان وجه النظر في كلام الأعلام نذكر ما هو التحقيق في المقام، فاعلم أنَّ اليقين قد يلاحظ بما أنَّه صفة قائمة بالنفس، كالعطش و الجوع و الخوف و الحزن، و من الصفات القائمة بها، من غير لحاظ إضافته إلى الخارج، و قس عليه الشكّ 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يلاحظ بما أنَّه مضاف إلى الخارج، و أنه كاشف كشفاً تامّاً عن مُتعلّقه، و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ناقصاً، و الشكّ غير كاشف أصلًا، بل يضاف إلى الخارج إضافة ترديديّة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أنَّ اليقين بحسب الملاحظة الاولى لا يكون مُمتازاً عن الظنّ و الشكّ بالإبرام و الاستحكام و عدمهما، بل الإبرام و الاستحكام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هذه 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في كيفيّة قيامها بالنفس بحسب مبادئها المحصّلة لها فيها، فقد تكون مبادئ حصول الشكّ قويّة؛ بحيث لا يزول بسهولة، و تكون مبادئ حصول القطع و اليقين ضعيفة؛ بحيث يزول بتشكيك ما، و قد يكون الحال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سهولة زوال تلك الأوصاف عن النفس و عسر زوالها تابعان لمبادئ حصولها، فلا يكون اليقين في هذه الملاحظة أبرم من الشكّ، و لا الظنّ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إضافتها إلى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فاليقين مُبرم محكم ذاتاً دون الشكّ و الظنّ، فكأنَّ اليقين حبل مشدود أحد طرفيه على النفس، و طرفه الآخر على المُتيقّن، و يكون حبلًا مُبرماً مفتولًا مُستحكماً، و إن كانت مبادئ حصوله ضعيفة غير مستحكمة، بخلاف الظنّ و الشكّ، فإنّهما بحسب هذه الإضافة غير محكمين و لا مُبرمين، و إن كانت مبادئ حصولهما قويّة مُستحكمة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 اليقين عن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كالحبل المُبرم دون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w:t>
      </w:r>
    </w:p>
    <w:p>
      <w:pPr>
        <w:pStyle w:val="BookText"/>
        <w:rPr/>
      </w:pPr>
      <w:r>
        <w:rPr>
          <w:rFonts w:ascii="IRNazanin" w:hAnsi="IRNazanin" w:eastAsia="IRNazanin"/>
          <w:color w:val="111111"/>
          <w:sz w:val="28"/>
          <w:sz w:val="28"/>
          <w:szCs w:val="28"/>
          <w:rtl w:val="true"/>
          <w:lang w:bidi="fa-IR"/>
        </w:rPr>
        <w:t>بحسب تعلّقهما بالخارج، و هذا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الجري العمليّ على طبق اليقين فهو خارج عن حقيقته، بل يكون من آثاره و أحكامه العقليّة أو العقلائيّة، فلا يكون إبرامه و استحكامه متفرّعين على الجري العمليّ، بل هو تابع لهما، و كذا إبرامه و استحكامه و كونه كالحبل المشدود دون الشكّ لا ارتباط لها بالمتيقّن، بل هي من مقتضيات ذاته، سواءً تعلّق بأمر مُبرم أو غيره، كما أنَّ الشكّ غير مبرم بأيّ شي‌ء 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الإبرام و الاستحكام من مقتضيات ذات اليقين، و أنَّ مقابلهما من مقتضيات ذات الشكّ في حال ملاحظتهما مُتعلّقين بالخارج و مُضافين إلى المُتعلّق، و لا يكون الإبرام و الاستحكام عارضين له من المُتيقّن، و لا من وجوب الجري العمليّ على طبقه، كما أنَّ اليمين المؤكّدة يتوهّم لها إحكام و إبرام باعتبار نفس ذاتها المضافة إلى المتعلّق،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تَنْقُضُوا الْأَيْمانَ بَعْدَ تَوْكِيدِها</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إنّما نسب النقض إليها، لا باعتبار كونها من الكيفيّات المسموعة القائمة بنفس المُتكلّم، و لا باعتبار كون متعلّقها أمراً مستمرّاً مُبرماً، و لا باعتبار الجري العمليّ على طبقها، بل باعتبار ذاتها المضافة إلى مُتعلّقاتها، فكأنَّ اليمين بواسطة هذه الإضافة حبل مُبرم مشدود أحد جانبيه على عنق الحالف، و الآخر على مُتعلّقه، فبهذه الملاحظة نسب إليها النقض، كما أنَّ اليقين إنّما نسب إليه النقض بهذه الملاحظة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أفاده الشيخ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نسبة النقض باعتبار كون مُتعلّقه مُبرماً</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ثاني العلمين المُتقدّمين من كون النسبة باعتبار الجري العمليّ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خصوصاً ثانيهما</w:t>
      </w:r>
      <w:r>
        <w:rPr>
          <w:rFonts w:eastAsia="Amiri" w:cs="Amiri" w:ascii="Amiri" w:hAnsi="Amiri"/>
          <w:color w:val="111111"/>
          <w:sz w:val="28"/>
          <w:szCs w:val="28"/>
          <w:rtl w:val="true"/>
          <w:lang w:bidi="ar-SA"/>
        </w:rPr>
        <w:t>.</w:t>
      </w:r>
      <w:bookmarkStart w:id="68" w:name="pg2245_12658"/>
    </w:p>
    <w:p>
      <w:pPr>
        <w:pStyle w:val="BookText"/>
        <w:rPr/>
      </w:pPr>
      <w:bookmarkEnd w:id="68"/>
      <w:r>
        <w:rPr>
          <w:rFonts w:ascii="Amiri" w:hAnsi="Amiri" w:eastAsia="Amiri" w:cs="Amiri"/>
          <w:color w:val="111111"/>
          <w:sz w:val="28"/>
          <w:sz w:val="28"/>
          <w:szCs w:val="28"/>
          <w:rtl w:val="true"/>
          <w:lang w:bidi="ar-SA"/>
        </w:rPr>
        <w:t xml:space="preserve">و في كلامه مواقع للنظر، كتفريقه بين العلم و القطع، و بين اليقين </w:t>
      </w:r>
      <w:r>
        <w:rPr>
          <w:rStyle w:val="FootnoteAnchor"/>
          <w:rtl w:val="true"/>
        </w:rPr>
        <w:footnoteReference w:id="80"/>
      </w:r>
      <w:r>
        <w:rPr>
          <w:rFonts w:ascii="Amiri" w:hAnsi="Amiri" w:eastAsia="Amiri" w:cs="Amiri"/>
          <w:color w:val="111111"/>
          <w:sz w:val="28"/>
          <w:sz w:val="28"/>
          <w:szCs w:val="28"/>
          <w:rtl w:val="true"/>
          <w:lang w:bidi="ar-SA"/>
        </w:rPr>
        <w:t xml:space="preserve">ممّا هو واضح البطلان، و سيأتي النظر في تقريبه الثاني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1613931_3804643083"/>
      <w:bookmarkStart w:id="70" w:name="_Toc26"/>
      <w:bookmarkEnd w:id="69"/>
      <w:r>
        <w:rPr>
          <w:rtl w:val="true"/>
        </w:rPr>
        <w:t>بيان جواب تقريب المولى الهمدانيّ رحمه اللَّه</w:t>
      </w:r>
      <w:bookmarkEnd w:id="70"/>
    </w:p>
    <w:p>
      <w:pPr>
        <w:pStyle w:val="BookText"/>
        <w:rPr/>
      </w:pPr>
      <w:r>
        <w:rPr>
          <w:rFonts w:ascii="Amiri" w:hAnsi="Amiri" w:eastAsia="Amiri" w:cs="Amiri"/>
          <w:color w:val="111111"/>
          <w:sz w:val="28"/>
          <w:sz w:val="28"/>
          <w:szCs w:val="28"/>
          <w:rtl w:val="true"/>
          <w:lang w:bidi="ar-SA"/>
        </w:rPr>
        <w:t>و أمّا ما أفاده أوّل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نسبة النقض باعتبار اليقين التقديريّ في زمان الشكّ، لا اليقين المُتعلّق بالحالة السابقة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لزوم هذا التقدير في صحة نسبته إليه؛ فإنَّ اليقين المحقّق في زمان الشكّ و إن تعلّق بالحالة السابقة، لكن تصحّ نسبة النقض إليه، و يقال هذا اليقين المُتعلّق بالطهارة السابقة لا ينتقض بالشكّ، و يُبنى عليه في زمان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الروايات هو نسبة النقض إلى هذا اليقين الفعليّ لا التقديريّ؛ لأنَّ قوله في الصحيحة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فإنَّه على يقين من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مُرتبط بالكبرى التي بعده؛ أي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أبداً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جعل صغرى لها كما هو الظاهر أو توطئة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 أنَّ المراد باليقين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اليقين المُتعلّق بالوضوء في الزمان السابق، لا اليقين المُقدّر المُعتبر، فلا بدّ أن يراد من اليقين في الكبرى هو هذا اليقين، لا التقديريّ؛ لعدم صحّة التفرقة بينهما، ضرورة عدم صحّة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يقين حقيقة من وضوئه في الزمان السابق، و لا ينقض اليقين التقديريّ بالشكّ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مناسبة الحكم و الموضوع إنَّما تقتضي أن لا ينتقض اليقين</w:t>
      </w:r>
    </w:p>
    <w:p>
      <w:pPr>
        <w:pStyle w:val="BookText"/>
        <w:rPr/>
      </w:pPr>
      <w:r>
        <w:rPr>
          <w:rFonts w:ascii="Amiri" w:hAnsi="Amiri" w:eastAsia="Amiri" w:cs="Amiri"/>
          <w:color w:val="111111"/>
          <w:sz w:val="28"/>
          <w:sz w:val="28"/>
          <w:szCs w:val="28"/>
          <w:rtl w:val="true"/>
          <w:lang w:bidi="ar-SA"/>
        </w:rPr>
        <w:t>الواقعيّ الذي له إبرام و استحكام بالشكّ، لا اليقين التقديريّ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لتأبيد الحكم المُتقدّم؛ أي عدم نقض اليقين بالشكّ مُستمرّ و مؤبّد، فلا بدّ أوّلًا من جعل الحكم، ثمّ إفادة تأبيده بلفظ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قائم مقام الإطلاق، فينحلّ عرفاً هذا الحكم المُتقيّد بالتأبيد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الحكم القابل للتأبيد و عدمه، و تأبيده و استمراره، فلو اعتبر اليقين في تمام ظرف الشكّ؛ أي من أوّل وجوده إلى آخره يقدّر اليقين و ينسب إليه النقض، فلا مصحّح للتأبيد؛ فإنَّ الأمر المُستمرّ الوجود إذا اعتبر من أوّل وجوده إلى آخره لا يصحّ اعتبار الاستمرار فيه ثانياً؛ فإنَّ الشي‌ء المُستمرّ لا يقع فيه استمرار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اعتبر اليقين في تمام ظرف الشكّ، و إن اعتبر في أوّل زمان الشكّ، و اريد بيان تأبيد حكمه بلفظ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مصحّح لنسبة النقض إلى ما بعد ظرف التقدير بناءً على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تأبيد الحكم، أنَّ اليقين المتعلّق بأمرٍ سابق على الشكّ لا ينقض في ظرف الشكّ من أوّل زمانه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قوله في ذيل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حكماً مجعولًا؛ ضرورة امتناع جعل إيجاب العمل على طبق اليقين، فإنَّه بمنزلة جعل الحُجّية و الكاشفيّة له، فلا محالة تكون هذه الجملة لتعيين الغاية للحكم المُتقدّم، فتكون تأكيداً لاستمرار الحكم إلى زمان يقين آخر، أو لإفادة استمراره حتّى مع وجود الظنّ إن اريد بالشكّ ما هو المصطلح، لا عدم العلم، فيفهم من هذه الغاية أنَّ المُتكلّم اعتبر ثلاثة امور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اليقين السابق، و الشكّ المُستمرّ، و اليقين المُتأخّر،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حكم اليقين بالأمر السابق مُستمرّ في زمان الشكّ، و لا ترفع اليد عنه إلى زمان اليقين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اليقين في ظرف الشكّ ممّا لا يساعد هذه الاعتبارات</w:t>
      </w:r>
      <w:r>
        <w:rPr>
          <w:rFonts w:eastAsia="Amiri" w:cs="Amiri" w:ascii="Amiri" w:hAnsi="Amiri"/>
          <w:color w:val="111111"/>
          <w:sz w:val="28"/>
          <w:szCs w:val="28"/>
          <w:rtl w:val="true"/>
          <w:lang w:bidi="ar-SA"/>
        </w:rPr>
        <w:t>.</w:t>
      </w:r>
      <w:bookmarkStart w:id="71" w:name="pg2245_12660"/>
    </w:p>
    <w:p>
      <w:pPr>
        <w:pStyle w:val="BookText"/>
        <w:rPr/>
      </w:pPr>
      <w:bookmarkEnd w:id="71"/>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التأمّل في الصحيحة صدراً و ذيلًا ممّا يشرف بالفقيه على القطع بأنَّ اليقين في الكبرى هو اليقين المُحقّق الفعليّ المتعلّق بالشي‌ء في الزمان السابق، لا المُقدّر المفروض في زمان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النظر في كلام بعض أعاظم العصر في تقريبه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صدق نقض اليقين بالشكّ يتوقّف على أن يكون زمان الشكّ ممّا تعلّق به اليقين في زمان حدوثه، و هو منحصر في الشكّ في الرافع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الرواية، هو اليقين المُتعلّق بالحالة السابقة المُتحقّق فعلًا، لا اليقين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ما ذكره غير تامّ في نفسه؛ لأنَّ اليقين في الشكّ في الرافع قد لا يتعلّق في أوّل حدوثه بما تعلّق به الشكّ، و في الشكّ في المُقتضي قد يكون كذلك</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613933_3804643083"/>
      <w:bookmarkStart w:id="73" w:name="_Toc27"/>
      <w:bookmarkEnd w:id="72"/>
      <w:r>
        <w:rPr>
          <w:rtl w:val="true"/>
        </w:rPr>
        <w:t>تقريب آخر لشمول الأدلّة للشكّ في المُقتضي</w:t>
      </w:r>
      <w:bookmarkEnd w:id="73"/>
    </w:p>
    <w:p>
      <w:pPr>
        <w:pStyle w:val="BookText"/>
        <w:rPr/>
      </w:pPr>
      <w:r>
        <w:rPr>
          <w:rFonts w:ascii="Amiri" w:hAnsi="Amiri" w:eastAsia="Amiri" w:cs="Amiri"/>
          <w:color w:val="111111"/>
          <w:sz w:val="28"/>
          <w:sz w:val="28"/>
          <w:szCs w:val="28"/>
          <w:rtl w:val="true"/>
          <w:lang w:bidi="ar-SA"/>
        </w:rPr>
        <w:t>هاهنا بيان آخر لشمول الأدلّة للشكّ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الكبرى الكلّية المجعولة في باب الاستصحاب ظاهرة في أنَّ اليقين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دخالة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بالشكّ من حيث هو شكّ كذلك؛ ضرورة ظهور أخذ كلّ عنوان في حكم في أنَّه تمام الموضوع له بنفسه، من غير دخالة شي‌ء آخر وراءه، و رفع اليد عن هذا الظهور لا يجوز إلّا بصارف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دائر بين امور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عدم انتقاض اليقين بالشكّ باعتبار مبادئ حصولهما في النفس</w:t>
      </w:r>
      <w:r>
        <w:rPr>
          <w:rFonts w:eastAsia="Amiri" w:cs="Amiri" w:ascii="Amiri" w:hAnsi="Amiri"/>
          <w:color w:val="111111"/>
          <w:sz w:val="28"/>
          <w:szCs w:val="28"/>
          <w:rtl w:val="true"/>
          <w:lang w:bidi="ar-SA"/>
        </w:rPr>
        <w:t>.</w:t>
      </w:r>
      <w:bookmarkStart w:id="74" w:name="pg2245_12661"/>
    </w:p>
    <w:p>
      <w:pPr>
        <w:pStyle w:val="BookText"/>
        <w:rPr/>
      </w:pPr>
      <w:bookmarkEnd w:id="7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باعتبار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باعتبار الجري العمليّ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باعتبار نفس اليقين و الشكّ من حيث ذاتيهما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غير الاحتمال الأخير يكون عدم نقض اليقين بالشكّ باعتبار غير ذاتيهما، و قد عرفت أنَّ الظاهر نفسيّتهما في ذلك </w:t>
      </w:r>
      <w:r>
        <w:rPr>
          <w:rStyle w:val="FootnoteAnchor"/>
          <w:rtl w:val="true"/>
        </w:rPr>
        <w:footnoteReference w:id="84"/>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613935_3804643083"/>
      <w:bookmarkStart w:id="76" w:name="_Toc28"/>
      <w:bookmarkEnd w:id="75"/>
      <w:r>
        <w:rPr>
          <w:rtl w:val="true"/>
        </w:rPr>
        <w:t>تأييد اختصاصه بالشكّ في الرافع و الجواب عنه</w:t>
      </w:r>
      <w:bookmarkEnd w:id="76"/>
    </w:p>
    <w:p>
      <w:pPr>
        <w:pStyle w:val="BookText"/>
        <w:rPr/>
      </w:pPr>
      <w:r>
        <w:rPr>
          <w:rFonts w:ascii="Amiri" w:hAnsi="Amiri" w:eastAsia="Amiri" w:cs="Amiri"/>
          <w:color w:val="111111"/>
          <w:sz w:val="28"/>
          <w:sz w:val="28"/>
          <w:szCs w:val="28"/>
          <w:rtl w:val="true"/>
          <w:lang w:bidi="ar-SA"/>
        </w:rPr>
        <w:t xml:space="preserve">ثمّ إنَّه قد ايّد القول باختصاص الاستصحاب بالشكّ في الرافع بأنَّ أدلّة الاستصحاب إنّما وردت على طبق ارتكاز العقلاء و بنائهم على العمل على طبق الحالة السابقة، و لا إشكال في اختصاص بنائهم على العمل على طبقها في الشكّ في الرافع دون المقتضي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فهاهنا مقامات من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وجه بنائهم هل هو مطابق لوجه التعبّد بالاستصحاب في الأخبار أم لا؟</w:t>
      </w:r>
    </w:p>
    <w:p>
      <w:pPr>
        <w:pStyle w:val="BookText"/>
        <w:rPr/>
      </w:pPr>
      <w:r>
        <w:rPr>
          <w:rFonts w:ascii="Amiri" w:hAnsi="Amiri" w:eastAsia="Amiri" w:cs="Amiri"/>
          <w:color w:val="111111"/>
          <w:sz w:val="28"/>
          <w:sz w:val="28"/>
          <w:szCs w:val="28"/>
          <w:rtl w:val="true"/>
          <w:lang w:bidi="ar-SA"/>
        </w:rPr>
        <w:t>أمّا أصل بنائهم في الجملة فممّا لا إشكال فيه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كون بنائهم على العمل من حيث نفس اليقين بالحالة السابقة و الشكّ في بقائها، أو من حيث إنَّ نفس الكون السابق موجب للحكم بالبقاء عملًا فممنوع؛ فإنَ</w:t>
      </w:r>
    </w:p>
    <w:p>
      <w:pPr>
        <w:pStyle w:val="BookText"/>
        <w:rPr/>
      </w:pPr>
      <w:r>
        <w:rPr>
          <w:rFonts w:ascii="Amiri" w:hAnsi="Amiri" w:eastAsia="Amiri" w:cs="Amiri"/>
          <w:color w:val="111111"/>
          <w:sz w:val="28"/>
          <w:sz w:val="28"/>
          <w:szCs w:val="28"/>
          <w:rtl w:val="true"/>
          <w:lang w:bidi="ar-SA"/>
        </w:rPr>
        <w:t>اليقين بالحالة السابقة بمجرده لا يكون منشأ لبنائهم؛ لعدم كاشفيّة اليقين بالحالة السابقة عن الحالة الحاضرة التي تكون ظرف الشكّ، كما هو المفروض، كما أنَّ نفس الكون السابق بما هو لا يكشف عن بقائه، و لا يوجب عملهم على طبقه؛ بحيث لو فرضنا مورداً لا يكون في البين إلّا اليقين بالكون السابق و 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يحصل لهم وثوق و اطمئنان، و لا يكون عملهم مطابقاً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بناؤهم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وجود بنائهم على طبق الحالة السابقة من حيث هي، و دعوى ذلك لا تخلو من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أمر ارتكازيّ و عاديّ لهم من غير حصول الوثوق و الاطمئنان لهم </w:t>
      </w:r>
      <w:r>
        <w:rPr>
          <w:rStyle w:val="FootnoteAnchor"/>
          <w:rtl w:val="true"/>
        </w:rPr>
        <w:footnoteReference w:id="86"/>
      </w:r>
      <w:r>
        <w:rPr>
          <w:rFonts w:ascii="Amiri" w:hAnsi="Amiri" w:eastAsia="Amiri" w:cs="Amiri"/>
          <w:color w:val="111111"/>
          <w:sz w:val="28"/>
          <w:sz w:val="28"/>
          <w:szCs w:val="28"/>
          <w:rtl w:val="true"/>
          <w:lang w:bidi="ar-SA"/>
        </w:rPr>
        <w:t xml:space="preserve">ممنوع، بل رجوع الحيوانات إلى أوكارها لا يكون إلّا من جهة حصول الوثوق بالبقاء، و لا دليل على عدم حصول الوثوق للحيوانات لو لا الدليل على خلافه؛ فإنَّ حصوله ليس من مختصّات العقل، بل قد يحصل للنفس الحيوانيّة أيضاً؛ لحصوله في الامور الجزئيّة المُدركة للحيوان، فتلك الحالات النفسانيّة كما تحصل للإنسان أيضاً، تحصل لكثير من الحيوانات، أو لأجل العادة الجارية، ما قد تكون في الإنسان أيضاً، و لا ريب في أنَّه لم يكن لأجل عدم نقض اليقين بالشكّ، و لا يكون عودهم إلى محالّهم غفلة كما قيل </w:t>
      </w:r>
      <w:r>
        <w:rPr>
          <w:rStyle w:val="FootnoteAnchor"/>
          <w:rtl w:val="true"/>
        </w:rPr>
        <w:footnoteReference w:id="87"/>
      </w:r>
      <w:r>
        <w:rPr>
          <w:rFonts w:ascii="Amiri" w:hAnsi="Amiri" w:eastAsia="Amiri" w:cs="Amiri"/>
          <w:color w:val="111111"/>
          <w:sz w:val="28"/>
          <w:sz w:val="28"/>
          <w:szCs w:val="28"/>
          <w:rtl w:val="true"/>
          <w:lang w:bidi="ar-SA"/>
        </w:rPr>
        <w:t>فإنَّه واضح الفساد أيضاً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بناء العقلاء لا يكون إلّا لحصول الوثوق و الاطمئنان لهم، و هو حاصل لهم من ندرة حصول الرافع للشي‌ء الثابت المُقتضي للبقاء، نظير أصالة السلامة الناشئة من ندرة حصول العيب في الأشياء و غلبة سلامتها؛ بحيث يحصل الوثوق على طبقها، فالاستصحاب العقلائيّ لا يكون إلّا العمل على طبق الوثوق</w:t>
      </w:r>
    </w:p>
    <w:p>
      <w:pPr>
        <w:pStyle w:val="BookText"/>
        <w:rPr/>
      </w:pPr>
      <w:r>
        <w:rPr>
          <w:rFonts w:ascii="Amiri" w:hAnsi="Amiri" w:eastAsia="Amiri" w:cs="Amiri"/>
          <w:color w:val="111111"/>
          <w:sz w:val="28"/>
          <w:sz w:val="28"/>
          <w:szCs w:val="28"/>
          <w:rtl w:val="true"/>
          <w:lang w:bidi="ar-SA"/>
        </w:rPr>
        <w:t>الحاصل ممّا ذكرنا، و ليس هذا مطابقاً للاستصحاب المُدّعى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الأخبار واردة على طبق الارتكاز العقلائيّ فممنوع غاية المنع؛ لأنَّ الظاهر من الكبرى المُتلقّاة منها أنَّ ما هو موضوع لوجوب العمل هو اليقين بالحالة السابقة و الشكّ في بقائها، من غير دخالة شي‌ء آخر فيه، و هذا أمر تعبّديّ غير ارتكازيّ للعقلاء، كما عرفت أنَّ العلم بالحالة السابقة غير كاشف عن الحالة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بأنَّه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ينبغي لك أن تنقض اليقين بالشكّ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يدلّ على إرجاعه إلى ارتكازه كما توهّم </w:t>
      </w:r>
      <w:r>
        <w:rPr>
          <w:rStyle w:val="FootnoteAnchor"/>
          <w:rtl w:val="true"/>
        </w:rPr>
        <w:footnoteReference w:id="88"/>
      </w:r>
      <w:r>
        <w:rPr>
          <w:rFonts w:ascii="Amiri" w:hAnsi="Amiri" w:eastAsia="Amiri" w:cs="Amiri"/>
          <w:color w:val="111111"/>
          <w:sz w:val="28"/>
          <w:sz w:val="28"/>
          <w:szCs w:val="28"/>
          <w:rtl w:val="true"/>
          <w:lang w:bidi="ar-SA"/>
        </w:rPr>
        <w:t>ضرورة أنَّ عدم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الوضوء مع حصول مقدّمات النوم كالخفقة و الخفقتين، و تحريك شي‌ء إلى جنبه مع عدم التفاته إليه، و في مثل الظنّ بإصابة دم الرعاف في من حصل له الرعاف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ارتكازيّاً للعقلاء؛ لأنّهم في مثل تلك الموارد التي تكون في مظانِّ حصول منافيات الحالة السابقة يتفحّصون عنها، كما ترى أنَّه في الصحيحة الثانية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ظننت أنَّه قد أصابه و لم أتيقّن، فنظرت فلم أرَ شيئاً</w:t>
      </w:r>
      <w:r>
        <w:rPr>
          <w:rFonts w:eastAsia="Amiri" w:cs="Amiri" w:ascii="Amiri" w:hAnsi="Amiri"/>
          <w:color w:val="111111"/>
          <w:sz w:val="28"/>
          <w:szCs w:val="28"/>
          <w:rtl w:val="true"/>
          <w:lang w:bidi="ar-SA"/>
        </w:rPr>
        <w:t>)</w:t>
      </w:r>
    </w:p>
    <w:p>
      <w:pPr>
        <w:pStyle w:val="BookText"/>
        <w:rPr/>
      </w:pPr>
      <w:r>
        <w:rPr>
          <w:rStyle w:val="FootnoteAnchor"/>
          <w:rtl w:val="true"/>
        </w:rPr>
        <w:footnoteReference w:id="89"/>
      </w:r>
      <w:r>
        <w:rPr>
          <w:rFonts w:ascii="Amiri" w:hAnsi="Amiri" w:eastAsia="Amiri" w:cs="Amiri"/>
          <w:color w:val="111111"/>
          <w:sz w:val="28"/>
          <w:sz w:val="28"/>
          <w:szCs w:val="28"/>
          <w:rtl w:val="true"/>
          <w:lang w:bidi="ar-SA"/>
        </w:rPr>
        <w:t>فلم يكتف بالحالة السابقة حتّى نظر إليه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هذا التعبير كثيراً ما وقع في الأخبار فيما لا يكون على طبقه ارتكاز، كما يظهر بالتتبّع فيها</w:t>
      </w:r>
      <w:r>
        <w:rPr>
          <w:rStyle w:val="FootnoteAnchor"/>
          <w:rtl w:val="true"/>
        </w:rPr>
        <w:footnoteReference w:id="90"/>
      </w:r>
      <w:r>
        <w:rPr>
          <w:rFonts w:ascii="Amiri" w:hAnsi="Amiri" w:eastAsia="Amiri" w:cs="Amiri"/>
          <w:color w:val="111111"/>
          <w:sz w:val="28"/>
          <w:sz w:val="28"/>
          <w:szCs w:val="28"/>
          <w:rtl w:val="true"/>
          <w:lang w:bidi="ar-SA"/>
        </w:rPr>
        <w:t>مع أنّك قد عرفت أنَّ العمل على طبق اليقين المُتعلّق بحالة مع انقلابه إلى الشكّ في حالة اخرى لا يكون ارتكازيّاً، و الحال أنَّ مفاد الروايات هو أن لا ينقض اليقين بالشكّ من حيث ذاتيهما، من غير أن يحصل وثوق أو اطمئنان بالبقاء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أنَّ نكتة اعتبار الاستصحاب هي مطابقته لارتكاز العقلاء غير مسموعة، فمفادها أعمّ من الشكّ في الرافع و المقتضي و مخالف لما</w:t>
      </w:r>
      <w:bookmarkStart w:id="77" w:name="pg2245_12664"/>
    </w:p>
    <w:p>
      <w:pPr>
        <w:pStyle w:val="BookText"/>
        <w:rPr/>
      </w:pPr>
      <w:bookmarkEnd w:id="77"/>
      <w:r>
        <w:rPr>
          <w:rFonts w:ascii="Amiri" w:hAnsi="Amiri" w:eastAsia="Amiri" w:cs="Amiri"/>
          <w:color w:val="111111"/>
          <w:sz w:val="28"/>
          <w:sz w:val="28"/>
          <w:szCs w:val="28"/>
          <w:rtl w:val="true"/>
          <w:lang w:bidi="ar-SA"/>
        </w:rPr>
        <w:t>هو سيرة العقلاء بحسب الكبرى المجعولة و الموارد المنطبقة عليها تلك الكبرى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بالسيرة العقلائيّة و بناء العقلاء على حجّية الاستصحاب في غير محلّه، كما اتّضح ممّا ذكرنا عدم كون الاستصحاب أمارة مجعولة شرعيّة</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613937_3804643083"/>
      <w:bookmarkStart w:id="79" w:name="_Toc29"/>
      <w:bookmarkEnd w:id="78"/>
      <w:r>
        <w:rPr>
          <w:rtl w:val="true"/>
        </w:rPr>
        <w:t>[</w:t>
      </w:r>
      <w:r>
        <w:rPr>
          <w:rtl w:val="true"/>
        </w:rPr>
        <w:t>فمنها</w:t>
      </w:r>
      <w:r>
        <w:rPr>
          <w:rtl w:val="true"/>
        </w:rPr>
        <w:t xml:space="preserve">: </w:t>
      </w:r>
      <w:r>
        <w:rPr>
          <w:rtl w:val="true"/>
        </w:rPr>
        <w:t>صحيحة الثانية لزرارة</w:t>
      </w:r>
      <w:r>
        <w:rPr>
          <w:rtl w:val="true"/>
        </w:rPr>
        <w:t>]</w:t>
      </w:r>
      <w:bookmarkEnd w:id="79"/>
    </w:p>
    <w:p>
      <w:pPr>
        <w:pStyle w:val="Heading5"/>
        <w:numPr>
          <w:ilvl w:val="4"/>
          <w:numId w:val="1"/>
        </w:numPr>
        <w:rPr/>
      </w:pPr>
      <w:bookmarkStart w:id="80" w:name="__RefHeading___Toc1613939_3804643083"/>
      <w:bookmarkStart w:id="81" w:name="_Toc30"/>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عن الشيخ بإسناده عن زرارة مُضمراً، و عن الصدوق </w:t>
      </w:r>
      <w:r>
        <w:rPr>
          <w:rStyle w:val="FootnoteAnchor"/>
          <w:rtl w:val="true"/>
        </w:rPr>
        <w:footnoteReference w:id="9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متصدّراً بأبي جعفر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 أو غيره أو شي‌ء من منيّ، فعلّمت أثره إلى أن اصيب له الماء، فأصبت و حضرت الصلاة، و نسيت أنَّ بثوبي شيئاً و صلّيت، ثمّ إني ذكرت بعد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تعيد الصلاة و 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أكن رأيت موضعه، و علمت أنَّه قد أصابه، فطلبته فلم أقدر عليه، فلمّا صلّيت وجدته؟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و تعيد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 أنَّه قد أصابه و لم أتيقّن ذلك، فنظرت فلم أرَ شيئاً، ثمّ صلّيت فيه فرأيت فيه؟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و لا تعيد الصلاة</w:t>
      </w:r>
      <w:r>
        <w:rPr>
          <w:rFonts w:eastAsia="Amiri" w:cs="Amiri" w:ascii="Amiri" w:hAnsi="Amiri"/>
          <w:color w:val="111111"/>
          <w:sz w:val="28"/>
          <w:szCs w:val="28"/>
          <w:rtl w:val="true"/>
          <w:lang w:bidi="ar-SA"/>
        </w:rPr>
        <w:t>).</w:t>
      </w:r>
      <w:bookmarkStart w:id="82" w:name="pg2245_12665"/>
    </w:p>
    <w:p>
      <w:pPr>
        <w:pStyle w:val="BookText"/>
        <w:rPr/>
      </w:pPr>
      <w:bookmarkEnd w:id="8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 ثمّ شككت، فليس ينبغي لك أن تنقض اليقين بالشكّ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علمت أنَّه قد اصابه و لم أدرِ أين هو فأغسله؟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من ثوبك الناحية التي ترى أنَّه قد أصابها حتّى تكون على يقين من طهارتك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 إن شككت في أنَّه أصابه شي‌ء أن انظر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لكنّك إنّما تريد أن تُذهب الشكّ الذي وقع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 أنا في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تنقض الصلاة و تعيد إذا شككت في موضع منه ثمّ رأيته، و إن لم تشكّ ثمّ رأيته رطباً قطعت الصلاة و غسلته، ثمّ بنيت على الصلاة؛ لأنّك لا تدري لعلّه شي‌ء اوقع عليك، فليس ينبغي أن تنقض اليقين بالشكّ</w:t>
      </w:r>
      <w:r>
        <w:rPr>
          <w:rFonts w:eastAsia="Amiri" w:cs="Amiri" w:ascii="Amiri" w:hAnsi="Amiri"/>
          <w:color w:val="111111"/>
          <w:sz w:val="28"/>
          <w:szCs w:val="28"/>
          <w:rtl w:val="true"/>
          <w:lang w:bidi="ar-SA"/>
        </w:rPr>
        <w:t>)</w:t>
      </w:r>
    </w:p>
    <w:p>
      <w:pPr>
        <w:pStyle w:val="BookText"/>
        <w:rPr/>
      </w:pPr>
      <w:r>
        <w:rPr>
          <w:rStyle w:val="FootnoteAnchor"/>
          <w:rtl w:val="true"/>
        </w:rPr>
        <w:footnoteReference w:id="92"/>
      </w:r>
    </w:p>
    <w:p>
      <w:pPr>
        <w:pStyle w:val="Heading5"/>
        <w:numPr>
          <w:ilvl w:val="4"/>
          <w:numId w:val="1"/>
        </w:numPr>
        <w:rPr/>
      </w:pPr>
      <w:bookmarkStart w:id="83" w:name="__RefHeading___Toc1613941_3804643083"/>
      <w:bookmarkStart w:id="84" w:name="_Toc31"/>
      <w:bookmarkEnd w:id="83"/>
      <w:r>
        <w:rPr>
          <w:rtl w:val="true"/>
        </w:rPr>
        <w:t>مورد الاستدلال بالرواية و احتمالاته</w:t>
      </w:r>
      <w:bookmarkEnd w:id="84"/>
    </w:p>
    <w:p>
      <w:pPr>
        <w:pStyle w:val="BookText"/>
        <w:rPr/>
      </w:pPr>
      <w:r>
        <w:rPr>
          <w:rFonts w:ascii="Amiri" w:hAnsi="Amiri" w:eastAsia="Amiri" w:cs="Amiri"/>
          <w:color w:val="111111"/>
          <w:sz w:val="28"/>
          <w:sz w:val="28"/>
          <w:szCs w:val="28"/>
          <w:rtl w:val="true"/>
          <w:lang w:bidi="ar-SA"/>
        </w:rPr>
        <w:t>و مورد الاستدلال بالرواية فقرتان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ظننت أنَّه قد أصابه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ثانيتهما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تشكّ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الاولى منهما ففيها احتمالات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الظنّ بالإصابة و النظر و عدم الرؤية، صلّى من غير حصول علم</w:t>
      </w:r>
    </w:p>
    <w:p>
      <w:pPr>
        <w:pStyle w:val="BookText"/>
        <w:rPr/>
      </w:pPr>
      <w:r>
        <w:rPr>
          <w:rFonts w:ascii="Amiri" w:hAnsi="Amiri" w:eastAsia="Amiri" w:cs="Amiri"/>
          <w:color w:val="111111"/>
          <w:sz w:val="28"/>
          <w:sz w:val="28"/>
          <w:szCs w:val="28"/>
          <w:rtl w:val="true"/>
          <w:lang w:bidi="ar-SA"/>
        </w:rPr>
        <w:t>أو اطمئنان له من النظر، فلمّا صلّى رأى في ثوبه النجاسة، و علم بأنّها هي التي كانت مظنونة، فعلم أنَّ صلاته وقعت في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أي عدم حصول العلم له من النظر، لكن مع احتمال حدوث النجاسة بعدها، و احتمال وقوع صلاته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حصل له العلم من النظر بعدم النجاسة، فلمّا صلّى تبدّل علمه بالعلم بالخلاف؛ أي بأنَّ النجاسة كانت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مع احتماله بعد الصلاة حدوث النجاسة بعدها، و احتمال وقوع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تعليل الجواب ينافي إرادة الثالث، و الاحتمال الرابع المنطبق على قاعدة اليقين بعيد؛ لأنَّه لو حصل له العلم كان عليه ذكره في السؤال؛ لوضوح احتمال دخالته في الحكم، فعدم ذكره دليل على عدم حصوله، و الغفلة في مقام السؤال عن موضوعه خلاف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ظهور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ينبغي لك أن تنقض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فعليّة الشكّ و اليقين،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الظاهر أنَّ الكبرى في هذا المورد و ذيل الرواية واحدة، و لا إشكال في أنَّ الكبرى في ذيلها مُنطبقة على الاستصحاب لا القاعدة؛ ضرورة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تشكّ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أنّك إن كنت غافلًا و غير متوجّه إلى النجاسة، ثمّ رأيته رطباً، و احتملت كونها من أوّل الأمر، و حدوثها فيما بعد، و ليس معناه اليقين بعدم الطهارة، فالاحتمال الرابع غير مقصود، فبقي الاحتمالان، و هما مشتركان في إفادة حجّية الاستصحاب، فلو كانت الرواية مُجملة من هذه الجهة لا يضرّ بها، و أمّا الاحتمالان فلا يبعد دعوى ظهورها في الأوّل منهما</w:t>
      </w:r>
      <w:r>
        <w:rPr>
          <w:rFonts w:eastAsia="Amiri" w:cs="Amiri" w:ascii="Amiri" w:hAnsi="Amiri"/>
          <w:color w:val="111111"/>
          <w:sz w:val="28"/>
          <w:szCs w:val="28"/>
          <w:rtl w:val="true"/>
          <w:lang w:bidi="ar-SA"/>
        </w:rPr>
        <w:t>.</w:t>
      </w:r>
      <w:bookmarkStart w:id="85" w:name="pg2245_12667"/>
    </w:p>
    <w:p>
      <w:pPr>
        <w:pStyle w:val="Heading5"/>
        <w:numPr>
          <w:ilvl w:val="4"/>
          <w:numId w:val="1"/>
        </w:numPr>
        <w:rPr/>
      </w:pPr>
      <w:bookmarkStart w:id="86" w:name="__RefHeading___Toc1613943_3804643083"/>
      <w:bookmarkStart w:id="87" w:name="_Toc32"/>
      <w:bookmarkEnd w:id="85"/>
      <w:bookmarkEnd w:id="86"/>
      <w:r>
        <w:rPr>
          <w:rtl w:val="true"/>
        </w:rPr>
        <w:t>الإشكال على أقوى الاحتمالات و الجواب عنه</w:t>
      </w:r>
      <w:bookmarkEnd w:id="87"/>
    </w:p>
    <w:p>
      <w:pPr>
        <w:pStyle w:val="BookText"/>
        <w:rPr/>
      </w:pPr>
      <w:r>
        <w:rPr>
          <w:rFonts w:ascii="Amiri" w:hAnsi="Amiri" w:eastAsia="Amiri" w:cs="Amiri"/>
          <w:color w:val="111111"/>
          <w:sz w:val="28"/>
          <w:sz w:val="28"/>
          <w:szCs w:val="28"/>
          <w:rtl w:val="true"/>
          <w:lang w:bidi="ar-SA"/>
        </w:rPr>
        <w:t>فحينئذ يشكل بأنَّ تعليل عدم وجوب إعادة الصلاة بعد العلم بوقوعها في النجس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لأنّك كنت على يقين من طهارتك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كيف يصلح مع كون الإعادة من النقض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يصلح عدم نقض اليقين بالشكّ علّة لجواز الدخول في الصلاة، لا لعدم الإعادة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الرواية أنَّ تمام العلّة لعدم وجوب الإعادة هو عدم جواز نقض اليقين بالشكّ، من غير دخالة شي‌ءٍ آخر فيه، كاقتضاء الأمر الظاهريّ للإجزاء، أو كون إحراز الطهارة شرطاً للصلاة لا نفسها، أو كون إحراز النجاسة مانعاً لها لا نفسها، فالاستناد إلى شي‌ءٍ آخر غير التعليل المذكور في عدم وجوبها خروج عن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الأجوبة التي تمسّكوا بها في المقام لا تدفع الإشكال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غاية ما يمكن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تخصيص زرارة هذه الفقرة بالسؤال عن العلّة أنَّ الإعادة في الفقرتين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صورة النسيان و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موافقة للقاعدة؛ لأنَّ مقتضاها أنَّ النجاسة بوجودها الواقعيّ مانعة، و كذا الطهارة شرط بوجودها الواقعيّ على فرض شرطيّتها لها، فرأى جواب الإمام على وفق القاعدة، فلم يسأل عن علّتها، و لا ينافي ذلك سؤاله عن أصل المسألة؛ لاحتمال كون حكم اللَّه في الموردين مُخالفاً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الفقرة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صورة الظنّ بالإصابة و إتيان الصلاة بعد النظر و الفحص ثمّ العلم بأنّها وقعت في النجس، فلمّا كان الحكم فيها بعدم الإعادة مخالفاً للقاعدة سأل عن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المأتيّ به لمّا كان غير مطابق للمأمور به فلا بدّ من الإعادة، فما وجه الحكم بعدمها؟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الشارع بعدم نقض اليقين بالشكّ عملًا موجب لموافقة المأتيّ به للمأمور به فلا 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الطهارة موجب للتوسعة في الشرط، فيكون حاكماً على إطلاق الأدلّة الأوّلية، فيكون الجواب موافقاً للسؤال، و هذا الوجه و إن رجع إلى بعض الوجوه المذكورة، لكن مع هذا التقريب ينطبق التعليل على المورد من غير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الإشكال هو أنَّ التعليل لا يناسب عدم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لا يرجع إليه، بل الحكم بعدم الإعادة إرشاد إلى موافقة المأتيّ به للمأمور به؛ لعدم إمكان كون الإعادة و عدمها موردين للتعبّد من غير تصرّف في المنشأ، فالتعليل راجع إلى المنشأ، فلا إشكال حينئذٍ هذا على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مانعيّة النجس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أيضاً صحيح سواءً اخذ العلم بالنجاسة من حيث كونه طريقاً مانعاً، أو من حيث كونه منجّزاً، و سواءً كان التعليل مجموع المورد و الاستصحاب، أو خصوص الثاني؛ لأنَّ مرجع التعليل بهما إلى أنَّ النجاسة لم يكن لها منجّز، فالصلاة تكون صحيحة و لا تجب الإعادة؛ لأنَّ وجوبها ينافي عدم جواز نقض اليقين بالشكّ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كون المانع هو النجاسة المعلومة، فمع عدم العلم يحرز عدم</w:t>
      </w:r>
      <w:bookmarkStart w:id="88" w:name="pg2245_12669"/>
    </w:p>
    <w:p>
      <w:pPr>
        <w:pStyle w:val="BookText"/>
        <w:rPr/>
      </w:pPr>
      <w:bookmarkEnd w:id="88"/>
      <w:r>
        <w:rPr>
          <w:rFonts w:ascii="Amiri" w:hAnsi="Amiri" w:eastAsia="Amiri" w:cs="Amiri"/>
          <w:color w:val="111111"/>
          <w:sz w:val="28"/>
          <w:sz w:val="28"/>
          <w:szCs w:val="28"/>
          <w:rtl w:val="true"/>
          <w:lang w:bidi="ar-SA"/>
        </w:rPr>
        <w:t>المانع، فلا يحتاج إلى إحراز عدمه بالأصل بعد إحرازه وجداناً، فإذا كان المنظور إفادة عدم المتنجّز لا يصحّ التعليل بما يحرز العدم، و يكفي في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شاكّ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للتعليل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أنَّ التشبّث به لأجل إلغاء الشكّ؛ لاحتمال كون الشكّ منجّزاً، و لا بدّ من دفعه </w:t>
      </w:r>
      <w:r>
        <w:rPr>
          <w:rStyle w:val="FootnoteAnchor"/>
          <w:rtl w:val="true"/>
        </w:rPr>
        <w:footnoteReference w:id="96"/>
      </w:r>
      <w:r>
        <w:rPr>
          <w:rFonts w:ascii="Amiri" w:hAnsi="Amiri" w:eastAsia="Amiri" w:cs="Amiri"/>
          <w:color w:val="111111"/>
          <w:sz w:val="28"/>
          <w:sz w:val="28"/>
          <w:szCs w:val="28"/>
          <w:rtl w:val="true"/>
          <w:lang w:bidi="ar-SA"/>
        </w:rPr>
        <w:t xml:space="preserve">، غير وجيه؛ لأنَّ الاستصحاب شأنه إحراز الموضوع، و هذا أمر زائد على إلغاء الشكّ، فلا وجه للتعليل به، بل لا بدّ في إلغائه من التعبير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يعتدّ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هو النجس المعلوم، و مع الشكّ يحرز عدم جزء من الموضوع، و مع الاستصحاب يحرز جزؤه الآخر، فكأنَّه أراد أن يفيد أنَّ النجاسة المعلومة بكلا جزأيها مفقودة، مع إفادة أمرٍ زائد هو جريان الأصل في جزء الموضوع أيضاً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الإشكال المُتقدّم وارد على الاحتمال الثاني من الاحتمالات المتقدّمة أيضاً، و لا يختصّ بالأوّل</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1613945_3804643083"/>
      <w:bookmarkStart w:id="90" w:name="_Toc33"/>
      <w:bookmarkEnd w:id="89"/>
      <w:r>
        <w:rPr>
          <w:rtl w:val="true"/>
        </w:rPr>
        <w:t>إشكال آخر على الاحتمال المتصوّر</w:t>
      </w:r>
      <w:bookmarkEnd w:id="90"/>
    </w:p>
    <w:p>
      <w:pPr>
        <w:pStyle w:val="BookText"/>
        <w:rPr/>
      </w:pPr>
      <w:r>
        <w:rPr>
          <w:rFonts w:ascii="Amiri" w:hAnsi="Amiri" w:eastAsia="Amiri" w:cs="Amiri"/>
          <w:color w:val="111111"/>
          <w:sz w:val="28"/>
          <w:sz w:val="28"/>
          <w:szCs w:val="28"/>
          <w:rtl w:val="true"/>
          <w:lang w:bidi="ar-SA"/>
        </w:rPr>
        <w:t>ثمّ إنَّ هاهنا إشكالًا ثانياً على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لزوم التفرقة بين وقوع تمام الصلاة في الثوب النجس، و بين وقوع بعضها فيه؛ حيث حكم في الأوّل بعدم الإعادة دون الثاني، كما هو ظاهر قوله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تنقض الصلاة و تعيد إذا شككت في موضع منه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لذا حمل بعضهم </w:t>
      </w:r>
      <w:r>
        <w:rPr>
          <w:rStyle w:val="FootnoteAnchor"/>
          <w:rtl w:val="true"/>
        </w:rPr>
        <w:footnoteReference w:id="97"/>
      </w:r>
      <w:r>
        <w:rPr>
          <w:rFonts w:ascii="Amiri" w:hAnsi="Amiri" w:eastAsia="Amiri" w:cs="Amiri"/>
          <w:color w:val="111111"/>
          <w:sz w:val="28"/>
          <w:sz w:val="28"/>
          <w:szCs w:val="28"/>
          <w:rtl w:val="true"/>
          <w:lang w:bidi="ar-SA"/>
        </w:rPr>
        <w:t>هذه الفقرة على العلم الإجماليّ، و هو خلاف الظاهر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إشكال آخر على ذيل الرواية، و هو عدم فرق واضح بين وقوع بعض الصلاة في النجاسة مع الجهل بها، و بين احتمال حدوث النجاسة في الأثناء؛ حيث تمسّك الإمام عليه السلام في الثاني بالاستصحاب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للمصلّي العالم بالنجاسة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احتمل طروّها في الحال، أو علم الآن بوجودها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الجهل بالنجاسة، و حالة العلم بها و الاشتغال بتطهيرها، و حالة الصلاة مع الطهارة الواقعيّة، و هي بعد تطهيرها و إتمام الصلاة، و الاستصحاب إنّما ينفع بالنسبة إلى حال الجهل، لا حال العلم بالنجاسة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حمل الفقرة المُتقدّمة من الرواية على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حصول العلم بعد الصلاة بوجود النجاسة من أوّلها، و إجراء الاستصحاب لتصحيح الصلاة بالبيان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فرق بين الفقرتين الأخيرتين؛ لجريان الاستصحاب فيهما، فكما يجري مع احتمال حدوث النجاسة في الأثناء لتصحيح الأجزاء السابقة على العلم بها، كذلك يجري مع العلم في الأثناء بوجودها من أوّل الأمر؛ فإنَّ ظرف الجهل بالنجاسة مع الشكّ في حدوثها في موضع من ثوبه ظرف جريان الاستصحاب، و العلم اللّاحق لا يضرّه، كما لم يكن مُضرّاً في الفقرة الاولى؛ أي الاستصحاب بعد تمام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حالة العلم بالنجاسة فلا يفيدها الاستصحاب، بل لا بدّ من دليل آخر في تصحيحها، و هو الأدلّة الدالّة على أنَّه إذا رعف في الأثناء غسل أنفه و يبني على صلاته </w:t>
      </w:r>
      <w:r>
        <w:rPr>
          <w:rStyle w:val="FootnoteAnchor"/>
          <w:rtl w:val="true"/>
        </w:rPr>
        <w:footnoteReference w:id="98"/>
      </w:r>
      <w:r>
        <w:rPr>
          <w:rFonts w:ascii="Amiri" w:hAnsi="Amiri" w:eastAsia="Amiri" w:cs="Amiri"/>
          <w:color w:val="111111"/>
          <w:sz w:val="28"/>
          <w:sz w:val="28"/>
          <w:szCs w:val="28"/>
          <w:rtl w:val="true"/>
          <w:lang w:bidi="ar-SA"/>
        </w:rPr>
        <w:t>حيث يستفاد منها أنَّ التلبّس بالنجاسة في الزمان الذي يشتغل فيه بتطهير النجاسة لا يضرّ بالصلاة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قد يرجّح الاحتمال الثاني في الفقرة الاولى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تطبيق الاستصحاب</w:t>
      </w:r>
      <w:bookmarkStart w:id="91" w:name="pg2245_12671"/>
    </w:p>
    <w:p>
      <w:pPr>
        <w:pStyle w:val="BookText"/>
        <w:rPr/>
      </w:pPr>
      <w:bookmarkEnd w:id="91"/>
      <w:r>
        <w:rPr>
          <w:rFonts w:ascii="Amiri" w:hAnsi="Amiri" w:eastAsia="Amiri" w:cs="Amiri"/>
          <w:color w:val="111111"/>
          <w:sz w:val="28"/>
          <w:sz w:val="28"/>
          <w:szCs w:val="28"/>
          <w:rtl w:val="true"/>
          <w:lang w:bidi="ar-SA"/>
        </w:rPr>
        <w:t>في الفقرتين الأخيرتين على الثانية منهما دون الاولى يرفع الإجمال عن الفقرة الاولى المتقدّمة بحملها على احتمال حدوث النجاسة بعد الصلاة، فيكون ذيل الرواية شاهداً على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أن يستشمّ منه ذلك، كما أنَّ التعبير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ينبغي لك أن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أنَّ الشك كان فعليّاً بعد الصلاة، و إلّا كان ينبغي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ينبغي لك أن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فترجيح الاحتمال الثاني مع تلك المؤيّدات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يخلو من قرب و لكن يمكن دفع أصل الإشكال على الاحتمال الأوّل</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613947_3804643083"/>
      <w:bookmarkStart w:id="93" w:name="_Toc34"/>
      <w:bookmarkEnd w:id="92"/>
      <w:r>
        <w:rPr>
          <w:rtl w:val="true"/>
        </w:rPr>
        <w:t>دفع الإشكال</w:t>
      </w:r>
      <w:bookmarkEnd w:id="93"/>
    </w:p>
    <w:p>
      <w:pPr>
        <w:pStyle w:val="BookText"/>
        <w:rPr/>
      </w:pPr>
      <w:r>
        <w:rPr>
          <w:rFonts w:ascii="Amiri" w:hAnsi="Amiri" w:eastAsia="Amiri" w:cs="Amiri"/>
          <w:color w:val="111111"/>
          <w:sz w:val="28"/>
          <w:sz w:val="28"/>
          <w:szCs w:val="28"/>
          <w:rtl w:val="true"/>
          <w:lang w:bidi="ar-SA"/>
        </w:rPr>
        <w:t>و دفع الإشكال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صلّى ثمّ رأى النجاسة مع الشكّ و الالتفات في حال الصلاة، و العلم بعدها بأنّها كانت موجودة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مانع منه، كما عرفت تقريبه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رأى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علم بوجودها من أوّل الصلاة، أو احتمل حدوثها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بالاستصحاب لتصحيح الصلاة؛ لأنَّ ما يمكن التمسّك فيه به هو حالة الشكّ، و أمّا حال العلم فلا بدّ من تصحيح الصلاة بشي‌ء آخر، و إلّا فأدلّة إثبات المانعيّة للنجاسة</w:t>
      </w:r>
      <w:r>
        <w:rPr>
          <w:rStyle w:val="FootnoteAnchor"/>
          <w:rtl w:val="true"/>
        </w:rPr>
        <w:footnoteReference w:id="100"/>
      </w:r>
      <w:r>
        <w:rPr>
          <w:rFonts w:ascii="Amiri" w:hAnsi="Amiri" w:eastAsia="Amiri" w:cs="Amiri"/>
          <w:color w:val="111111"/>
          <w:sz w:val="28"/>
          <w:sz w:val="28"/>
          <w:szCs w:val="28"/>
          <w:rtl w:val="true"/>
          <w:lang w:bidi="ar-SA"/>
        </w:rPr>
        <w:t>، أو اشتراط الطهارة</w:t>
      </w:r>
      <w:r>
        <w:rPr>
          <w:rStyle w:val="FootnoteAnchor"/>
          <w:rtl w:val="true"/>
        </w:rPr>
        <w:footnoteReference w:id="101"/>
      </w:r>
      <w:r>
        <w:rPr>
          <w:rFonts w:ascii="Amiri" w:hAnsi="Amiri" w:eastAsia="Amiri" w:cs="Amiri"/>
          <w:color w:val="111111"/>
          <w:sz w:val="28"/>
          <w:sz w:val="28"/>
          <w:szCs w:val="28"/>
          <w:rtl w:val="true"/>
          <w:lang w:bidi="ar-SA"/>
        </w:rPr>
        <w:t>تدلّ على إثباتها في الصلاة التي هي حقيقة واحدة، و لها هيئة اتصاليّة، و الأكوان الغير المشغولة بالأذكار أيضاً</w:t>
      </w:r>
    </w:p>
    <w:p>
      <w:pPr>
        <w:pStyle w:val="BookText"/>
        <w:rPr/>
      </w:pPr>
      <w:r>
        <w:rPr>
          <w:rFonts w:ascii="Amiri" w:hAnsi="Amiri" w:eastAsia="Amiri" w:cs="Amiri"/>
          <w:color w:val="111111"/>
          <w:sz w:val="28"/>
          <w:sz w:val="28"/>
          <w:szCs w:val="28"/>
          <w:rtl w:val="true"/>
          <w:lang w:bidi="ar-SA"/>
        </w:rPr>
        <w:t>أكوان صلاتيّة بحسب ارتكاز المُتشرّعة و دلالة ظواهر الأدلّة</w:t>
      </w:r>
      <w:r>
        <w:rPr>
          <w:rStyle w:val="FootnoteAnchor"/>
          <w:rtl w:val="true"/>
        </w:rPr>
        <w:footnoteReference w:id="102"/>
      </w:r>
      <w:r>
        <w:rPr>
          <w:rFonts w:ascii="Amiri" w:hAnsi="Amiri" w:eastAsia="Amiri" w:cs="Amiri"/>
          <w:color w:val="111111"/>
          <w:sz w:val="28"/>
          <w:sz w:val="28"/>
          <w:szCs w:val="28"/>
          <w:rtl w:val="true"/>
          <w:lang w:bidi="ar-SA"/>
        </w:rPr>
        <w:t>، فالصلاة مشروطة من أوّلها إلى آخرها بالسَّتر، و النجاسة مانعة لها كذلك، فلا بدّ من الخروج عن ظاهر أدلّة الاشتراط، أو الأدلّة الدالّة على المانعيّة من دليل 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يدلّ على عدم الاعتبار هو الأخبار الواردة في الرعاف، و هي واردة فيما إذا حدث الرعاف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إلقاء الخصوصيّة؛ لعدم الفرق عرفاً بين حدوث النجاسة في الأثناء، و كونها من الأوّل مع الالتفات و العلم في الحال </w:t>
      </w:r>
      <w:r>
        <w:rPr>
          <w:rStyle w:val="FootnoteAnchor"/>
          <w:rtl w:val="true"/>
        </w:rPr>
        <w:footnoteReference w:id="103"/>
      </w:r>
      <w:r>
        <w:rPr>
          <w:rFonts w:ascii="Amiri" w:hAnsi="Amiri" w:eastAsia="Amiri" w:cs="Amiri"/>
          <w:color w:val="111111"/>
          <w:sz w:val="28"/>
          <w:sz w:val="28"/>
          <w:szCs w:val="28"/>
          <w:rtl w:val="true"/>
          <w:lang w:bidi="ar-SA"/>
        </w:rPr>
        <w:t>ممنوعة؛ لاحتمال أن يكون لحدوثها من باب الاتفاق دخل في رفع المانعيّة، و لهذا لا يمكن الالتزام بجواز التنجيس عمداً، و الاشتغال بتطهير الثوب فوراً، ثمّ البناء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في الأثناء بأنَّ النجاسة كانت من الأوّل لا يمكن تصحيح صلاته؛ لأنَّ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بالنسبة إلى حال العلم بالتلبّس، و الأدلّة الدالّة على اشتراط الصلاة بالطهارة، أو مانعيّة النجاسة ممّا لا مخرج لها، فلا محيص عن نقض الصلاة و إعادتها بعد تطهير الثوب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احتمل عروضها في البين فيمكن التشبّث بالاستصحاب لتصحيحها، لا لأنَّ أصالة عدم عروض النجاسة إلى الآن تثبت حدوثها، حتّى يدخل المورد تحت أدلّة حدوث الرعاف لتصحيح حال العلم بالتلبّس بالنجاسة لأجلها؛ ضرورة مثبتيّة هذا الأصل، بل لأنَّ أصالة عدم عروض النجاسة إلى الآن إنَّما هي لتصحيح حال الجهل بها، و حال العلم بالتلبّس يكون المُصلّي شاكّاً في كون هذه النجاسة الموجودة حادثة</w:t>
      </w:r>
      <w:bookmarkStart w:id="94" w:name="pg2245_12673"/>
    </w:p>
    <w:p>
      <w:pPr>
        <w:pStyle w:val="BookText"/>
        <w:rPr/>
      </w:pPr>
      <w:bookmarkEnd w:id="94"/>
      <w:r>
        <w:rPr>
          <w:rFonts w:ascii="Amiri" w:hAnsi="Amiri" w:eastAsia="Amiri" w:cs="Amiri"/>
          <w:color w:val="111111"/>
          <w:sz w:val="28"/>
          <w:sz w:val="28"/>
          <w:szCs w:val="28"/>
          <w:rtl w:val="true"/>
          <w:lang w:bidi="ar-SA"/>
        </w:rPr>
        <w:t>حتّى لا تكون مانعة، أو باقية من الأوّل حتّى تكون مانعة، فيكون شاكّاً في مانعيّتها، فتجري أصالة البراءة العقليّة و الشرعيّة كما في اللّباس المشكوك فيه؛ فإنَّ الأظهر من الأدلّة على كثرتها هو مانعيّة النجاسة من الصلاة، لا شرطيّة الطهارة، كما يظهر لمن تدبّرها، و إن كان بعضها يوهم الشرطيّة مثل هذه الصحيحة، لكنّ المانعيّة هي الأقوى بحسب مفاد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استصحاب الطهارة في صدر هذه الصحيحة لعلّه من باب كون الطهارة و عدم النجاسة أمراً واحداً بحسب نظر العرف، و المقصود كون اللّباس خالياً عن القذارة المانعة، و هو حاصل بإجراء أصل الطهارة، و إجراء أصالة عدم عروض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المُراد من الأصل في ذيل الصحيحة هو أصالة عدم عروض النجاسة إلى الآن، كما أنَّه ربما يُستأنس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تدري لعلّه شي‌ء اوقع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الأصل أصالة عدم عروض المانع في الصلاة؛ فإنَّ النجاسة الواقعيّة لم تكن مانعة مع الجهل بها، و النجاسة المعلومة يمكن أن تكون حادثة غير مانعة، فقبل العلم بها يكون عدم عروض المانع في الصلاة التي بيده مُتيقّناً، فيستصحب إلى زمان العلم، فيغسل الثوب و يبني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عدم جريان أصالة عدم المانع فأصالة بقاء الهيئة الاتصاليّة أيضاً جارية، كما هو المُقرّر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الصورتين فرقاً بحسب الاصول و القواعد، كما فرّق بينهما الإمام عليه الصلاة و السلام</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613949_3804643083"/>
      <w:bookmarkStart w:id="96" w:name="_Toc35"/>
      <w:bookmarkEnd w:id="95"/>
      <w:r>
        <w:rPr>
          <w:rtl w:val="true"/>
        </w:rPr>
        <w:t>فمنها</w:t>
      </w:r>
      <w:r>
        <w:rPr>
          <w:rtl w:val="true"/>
        </w:rPr>
        <w:t xml:space="preserve">: </w:t>
      </w:r>
      <w:r>
        <w:rPr>
          <w:rtl w:val="true"/>
        </w:rPr>
        <w:t>صحيحة الثالثة لزرارة</w:t>
      </w:r>
      <w:bookmarkEnd w:id="96"/>
    </w:p>
    <w:p>
      <w:pPr>
        <w:pStyle w:val="Heading5"/>
        <w:numPr>
          <w:ilvl w:val="4"/>
          <w:numId w:val="1"/>
        </w:numPr>
        <w:rPr/>
      </w:pPr>
      <w:bookmarkStart w:id="97" w:name="__RefHeading___Toc1613951_3804643083"/>
      <w:bookmarkStart w:id="98" w:name="_Toc36"/>
      <w:bookmarkEnd w:id="97"/>
      <w:r>
        <w:rPr>
          <w:rtl w:val="true"/>
        </w:rPr>
        <w:t>اشارة</w:t>
      </w:r>
      <w:bookmarkEnd w:id="9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أحدهما عليهما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w:t>
      </w:r>
    </w:p>
    <w:p>
      <w:pPr>
        <w:pStyle w:val="BookText"/>
        <w:rPr/>
      </w:pPr>
      <w:r>
        <w:rPr>
          <w:rFonts w:ascii="Amiri" w:hAnsi="Amiri" w:eastAsia="Amiri" w:cs="Amiri"/>
          <w:color w:val="111111"/>
          <w:sz w:val="28"/>
          <w:sz w:val="28"/>
          <w:szCs w:val="28"/>
          <w:rtl w:val="true"/>
          <w:lang w:bidi="ar-SA"/>
        </w:rPr>
        <w:t>في أربع هو أو في ثنتين، و قد أحرز الثنتين؟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يركع ركعتين و أربع سجدات و هو قائم بفاتحة الكتاب و يتشهّد، و لا شي‌ء عليه، و إذا لم يدرِ في ثلاث هو أو في أربع و قد أحرز الثلاث، قام فأضاف إليها اخرى و لا شي‌ء عليه، و لا ينقض اليقين بالشكّ، و لا يُدخل الشكّ في اليقين، و لا يخلط أحدهما بالآخر، و لكنّه ينقض الشكّ باليقين، و يتمّ على اليقين فيبني عليه، و لا يعتدّ بالشكّ في حال من الحالات</w:t>
      </w:r>
      <w:r>
        <w:rPr>
          <w:rFonts w:eastAsia="Amiri" w:cs="Amiri" w:ascii="Amiri" w:hAnsi="Amiri"/>
          <w:color w:val="111111"/>
          <w:sz w:val="28"/>
          <w:szCs w:val="28"/>
          <w:rtl w:val="true"/>
          <w:lang w:bidi="ar-SA"/>
        </w:rPr>
        <w:t>)</w:t>
      </w:r>
    </w:p>
    <w:p>
      <w:pPr>
        <w:pStyle w:val="BookText"/>
        <w:rPr/>
      </w:pP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هذه الصحيحة آثار التقيّة، مع عناية الإمام عليه السلام ببيان المذهب الحقّ في سترة و حجاب كما سنوضّحه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صدورها على وجه التقية ينافي صدرها؛ حيث حكم بتعيّن الفاتحة، و هو ظاهر في انفصال الركعة</w:t>
      </w:r>
      <w:r>
        <w:rPr>
          <w:rStyle w:val="FootnoteAnchor"/>
          <w:rtl w:val="true"/>
        </w:rPr>
        <w:footnoteReference w:id="105"/>
      </w:r>
      <w:r>
        <w:rPr>
          <w:rFonts w:ascii="Amiri" w:hAnsi="Amiri" w:eastAsia="Amiri" w:cs="Amiri"/>
          <w:color w:val="111111"/>
          <w:sz w:val="28"/>
          <w:sz w:val="28"/>
          <w:szCs w:val="28"/>
          <w:rtl w:val="true"/>
          <w:lang w:bidi="ar-SA"/>
        </w:rPr>
        <w:t xml:space="preserve">ممنوع؛ لأنَّ الحكم بتعيّن الفاتحة لا يدلّ عليه؛ أي على انفصال الركعة، و ليس على خلاف التقيّة؛ لما حُكي عن الشافعيّ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انظر حلية الأولياء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توالي التأسيس بمعالي ابن إدريس، الإمام الصادق و المذاهب الأربعة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طبقات الفقهاء للشيرازي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هدية الأحباب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bookmarkStart w:id="99" w:name="pg2245_12675"/>
    </w:p>
    <w:p>
      <w:pPr>
        <w:pStyle w:val="BookText"/>
        <w:rPr/>
      </w:pPr>
      <w:bookmarkEnd w:id="99"/>
      <w:r>
        <w:rPr>
          <w:rFonts w:ascii="Amiri" w:hAnsi="Amiri" w:eastAsia="Amiri" w:cs="Amiri"/>
          <w:color w:val="111111"/>
          <w:sz w:val="28"/>
          <w:sz w:val="28"/>
          <w:szCs w:val="28"/>
          <w:rtl w:val="true"/>
          <w:lang w:bidi="ar-SA"/>
        </w:rPr>
        <w:t xml:space="preserve">و الأوزاعيّ </w:t>
      </w:r>
      <w:r>
        <w:rPr>
          <w:rStyle w:val="FootnoteAnchor"/>
          <w:rtl w:val="true"/>
        </w:rPr>
        <w:footnoteReference w:id="107"/>
      </w:r>
      <w:r>
        <w:rPr>
          <w:rFonts w:ascii="Amiri" w:hAnsi="Amiri" w:eastAsia="Amiri" w:cs="Amiri"/>
          <w:color w:val="111111"/>
          <w:sz w:val="28"/>
          <w:sz w:val="28"/>
          <w:szCs w:val="28"/>
          <w:rtl w:val="true"/>
          <w:lang w:bidi="ar-SA"/>
        </w:rPr>
        <w:t>القول بتعيّن الفاتحة في الركعات كلّها</w:t>
      </w:r>
      <w:r>
        <w:rPr>
          <w:rStyle w:val="FootnoteAnchor"/>
          <w:rtl w:val="true"/>
        </w:rPr>
        <w:footnoteReference w:id="108"/>
      </w:r>
      <w:r>
        <w:rPr>
          <w:rFonts w:ascii="Amiri" w:hAnsi="Amiri" w:eastAsia="Amiri" w:cs="Amiri"/>
          <w:color w:val="111111"/>
          <w:sz w:val="28"/>
          <w:sz w:val="28"/>
          <w:szCs w:val="28"/>
          <w:rtl w:val="true"/>
          <w:lang w:bidi="ar-SA"/>
        </w:rPr>
        <w:t>، فالظاهر منها هو إتيان الركعتين في الفرع الأوّل و إضافة الركعة في الفرع الثاني متّصلة، كما هو قضيّة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يركع ركعتين و أربع سجدات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فأضاف إليها اخرى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بعد ما أفتى بما هو ظاهر في خلاف المذهب الحقّ تقيّة، أراد بيانه في حجاب التقيّة، فأتى بالجمل الآتية لبيان عدم صحّة خلط المشكوك فيه بالمتيقّن كما يأتي بيانه</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1613953_3804643083"/>
      <w:bookmarkStart w:id="101" w:name="_Toc37"/>
      <w:bookmarkEnd w:id="100"/>
      <w:r>
        <w:rPr>
          <w:rtl w:val="true"/>
        </w:rPr>
        <w:t>بيان احتمالات الرواية</w:t>
      </w:r>
      <w:bookmarkEnd w:id="101"/>
    </w:p>
    <w:p>
      <w:pPr>
        <w:pStyle w:val="BookText"/>
        <w:rPr/>
      </w:pPr>
      <w:r>
        <w:rPr>
          <w:rFonts w:ascii="Amiri" w:hAnsi="Amiri" w:eastAsia="Amiri" w:cs="Amiri"/>
          <w:color w:val="111111"/>
          <w:sz w:val="28"/>
          <w:sz w:val="28"/>
          <w:szCs w:val="28"/>
          <w:rtl w:val="true"/>
          <w:lang w:bidi="ar-SA"/>
        </w:rPr>
        <w:t>ثمَّ إنَّ في الرواية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به لا يبطل الركعات المحرزة بسبب الشكّ في الزائدة، بأن يستأنف الصلاة، بل يعتدّ بالمتيقّنة، و لا يدخل الشكّ في اليقين؛ أي لا يعتدّ بالمشكوك فيها، بأن يضمّها إلى المحرزة، و يتمّ بها الصلاة من غير تدارك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يخلط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تفسير للنهي عن الإدخال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ينقض الشكّ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الشكّ في الركعة الزائدة؛ بأن لا يعتدّ بها، بل يأتي بالزيادة على الإيقان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 على اليقين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يبني على المتيقّن فيها، و على هذا لم يتعرّض لذكر فصل</w:t>
      </w:r>
    </w:p>
    <w:p>
      <w:pPr>
        <w:pStyle w:val="BookText"/>
        <w:rPr/>
      </w:pPr>
      <w:r>
        <w:rPr>
          <w:rFonts w:ascii="Amiri" w:hAnsi="Amiri" w:eastAsia="Amiri" w:cs="Amiri"/>
          <w:color w:val="111111"/>
          <w:sz w:val="28"/>
          <w:sz w:val="28"/>
          <w:szCs w:val="28"/>
          <w:rtl w:val="true"/>
          <w:lang w:bidi="ar-SA"/>
        </w:rPr>
        <w:t xml:space="preserve">الركعة و وصلها في الفرعين، و هذا الاحتمال ممّا أبداه المحدّث الكاشانيّ قدس سره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الفقيه و الفيلسوف النبيه المولى محمّد محسن بن الشاه مرتضى بن الشاه محمود، ولد سنة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أخذ العلم عن السيّد ماجد البحراني، و المولى صدر الدين الشيرازي، و الشيخ البهائي، و المولى محمّد طاهر بن محمّد حسين الشيرازي، و المولى محمّد صالح المازندراني، و آخرين، و أخذ عنه طائفة من العلماء البارزين أشهرهم ولده المعروف بعلم الهدى، و العلّامة المولى الشيخ محمّد باقر المجلسي، و القاضي سعيد القمّي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مصنّفات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 و الوافي، و المحجّة البيضاء، و مفاتيح الشرائع، و ديوان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بمدينة كاشان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لؤلؤة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أفاده المحقّق المحدّث المتقدّم، و لكنّ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الشكّ في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يخلط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بهما فصل الركعتين أو الركعة المضافة للاحتياط؛ بأن يراد بهما عدم إدخال المشكوك فيها في المتيقّنة، و عدم خلط إحداهما بالأُخرى فيكون المراد بالشكّ و اليقين المشكوك فيها و المتيقّنة؛ أي أضاف الركعتين إلى الركعتين المحرزتين، و الركعة إلى الثلاث المحرزة، لكن لا يدخل المشكوك فيها في المتيقّنة، و لا يخلط إحداهما بالأُخرى بأن يأتي بالركعة و الركعتين مُنفصلة لا مُتّصلة؛ لئلّا يتحقّق الاختلاط و إدخال المشكوك فيها في المُتيقّنة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أظهر من الاحتمال الأوّل؛ حيث إنَّ الظاهر من النهي عن الإدخال و الخلط أنّهما تحت اختيار المُصلّي، فيمكن له الإدخال و الخلط و تركهما، و الركعة المشكوك فيها إمّا هي داخلة بحسب الواقع في المُتيقّنة أو لا، و ليس إدخالها فيها و خلطها بها باختياره، بخلاف الركعة التي يريد إضافتها إليها؛ فإنَّ له الإدخال و الخلط بإتيانها مُتّصلة، و عدمهما بإتيانها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على هذا الاحتمال يكون ظهور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يُدخل الشكّ في اليقين، و لا يخلط أحدهما بالآخر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محكّماً على ظهور الصدر في أنَّ الركعة أو الركعتين لا بدّ أن يؤتى</w:t>
      </w:r>
    </w:p>
    <w:p>
      <w:pPr>
        <w:pStyle w:val="BookText"/>
        <w:rPr/>
      </w:pPr>
      <w:r>
        <w:rPr>
          <w:rFonts w:ascii="Amiri" w:hAnsi="Amiri" w:eastAsia="Amiri" w:cs="Amiri"/>
          <w:color w:val="111111"/>
          <w:sz w:val="28"/>
          <w:sz w:val="28"/>
          <w:szCs w:val="28"/>
          <w:rtl w:val="true"/>
          <w:lang w:bidi="ar-SA"/>
        </w:rPr>
        <w:t>بها مُتّصلة،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فأضاف إليها اخرى من غير خلط الركعة المُضافة المشكوك في كونها الرابعة أو الخامسة بالركعات المُتيقّنة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هذا من قبيل تقييد الإطلاق كما أفاده المُحقّق الخراساني رحمه اللَّه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 هو الإمام المجاهد الكبير الشيخ محمّد كاظم ابن المولى حسين الهروي الخراساني، قدوة العلماء، و اسوة الفضلاء، تفرّد بصنوف الفضل فما من فن إلّا و له القدح المُعلّى، إليه انتهت رئاسة المذهب و الملّة، ولد في عام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بمدينة مشهد المقدّسة في اسرة دينيّة معروفة بالصلاح و التقوى و اتّجه في أوائل حياته إلى التحصيل، فتقدّم على أئمّة زمانه في الآفاق بالاستحقاق، أخذ عن جملة وافرة من أعلام عصره، كالفيلسوف الكبير الشيخ هادي السبزواري، و الحكيم المتألّه الميرزا أبو الحسن جلوه، و المولى حسين الخوئي، و الإمام المرتضى الأنصاري، و السيد محمّد حسن الشيرازي و آخرين، و تخرّج عليه جملة كبيرة من أعلام الطائفة، كالسيد حسين البروجردي، و الشيخ محمّد حسين الأصفهاني، و الشيخ ضياء الدين العراقي، و الشيخ عبد الكريم الحائري، و السيد عبد الحسين شرف الدين و آخرين، أشهر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الاصول، درر الفوائد، حاشية على كتاب المكاسب، اللمعات النيّرة، حاشية على كتاب الأسفار، لبّى نداء ربّه عزَّ و جلَّ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ظروف غامضة، و ذلك بعد أن عزم على التوجّه إلى ساحات القتال للدفاع عن الوطن الإسلامي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المصلح المجاهد للُاستاذ الشهيد عبد الرحيم محمّد علي، ريحانة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تبعه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بل من قبيل صرف الظهور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به لا ينقض اليقين بعدم الركعة المشكوك فيها بالشكّ </w:t>
      </w:r>
      <w:r>
        <w:rPr>
          <w:rStyle w:val="FootnoteAnchor"/>
          <w:rtl w:val="true"/>
        </w:rPr>
        <w:footnoteReference w:id="112"/>
      </w:r>
      <w:r>
        <w:rPr>
          <w:rFonts w:ascii="Amiri" w:hAnsi="Amiri" w:eastAsia="Amiri" w:cs="Amiri"/>
          <w:color w:val="111111"/>
          <w:sz w:val="28"/>
          <w:sz w:val="28"/>
          <w:szCs w:val="28"/>
          <w:rtl w:val="true"/>
          <w:lang w:bidi="ar-SA"/>
        </w:rPr>
        <w:t>، و يأتي في الجملتين و المُتأخّرتين الاحتمالان المُتقدّمان، فتكون الرواية دليلًا على الاستصحاب في المورد، و مخالفة للمذهب تقيّة على احتمال، و موافقة له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الشيخ الأنصاريّ قدس سره </w:t>
      </w:r>
      <w:r>
        <w:rPr>
          <w:rStyle w:val="FootnoteAnchor"/>
          <w:rtl w:val="true"/>
        </w:rPr>
        <w:footnoteReference w:id="113"/>
      </w:r>
      <w:r>
        <w:rPr>
          <w:rFonts w:ascii="IRNazanin" w:hAnsi="IRNazanin" w:eastAsia="IRNazanin"/>
          <w:color w:val="111111"/>
          <w:sz w:val="28"/>
          <w:sz w:val="28"/>
          <w:szCs w:val="28"/>
          <w:rtl w:val="true"/>
          <w:lang w:bidi="fa-IR"/>
        </w:rPr>
        <w:t>، و هو أردأ الاحتمالات؛ لأنَّ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ينطبق على تحصيل اليقين بالركعات بالاحتياط المُقرّر في المذهب الحقّ، و لا يدور الأمر بين الاحتمالين المشار إليهما في كلامه، حتّى إذا كان أحدهما خلاف التقيّة يحمل على الآخر اضطراراً، و لو كان مخالفاً للظاهر في نفسه، كما</w:t>
      </w:r>
      <w:bookmarkStart w:id="102" w:name="pg2245_12678"/>
    </w:p>
    <w:p>
      <w:pPr>
        <w:pStyle w:val="BookText"/>
        <w:rPr/>
      </w:pPr>
      <w:bookmarkEnd w:id="102"/>
      <w:r>
        <w:rPr>
          <w:rFonts w:ascii="Amiri" w:hAnsi="Amiri" w:eastAsia="Amiri" w:cs="Amiri"/>
          <w:color w:val="111111"/>
          <w:sz w:val="28"/>
          <w:sz w:val="28"/>
          <w:szCs w:val="28"/>
          <w:rtl w:val="true"/>
          <w:lang w:bidi="ar-SA"/>
        </w:rPr>
        <w:t xml:space="preserve">أفاده رحمه اللَّه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جميع هذه الاحتمالات لا بدّ من ارتكاب خلاف ظاهر، و هو تفكيك الجمل المُشتملة على الشكّ و اليقين؛ بأن يُراد في جملة من اليقين و الشكّ نفسهما، و في جملة يُراد من اليقين اليقين بالركعات المحرزة، أو عدم الركعة الرابعة، و في جملة يُراد بالشكّ المشكوك فيها؛ أي الركعة المُضافة، و في الاخرى الركعة المشكوك في إتيانها، كما يظهر بالتأمّل في الجمل و الاحتمالات</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613955_3804643083"/>
      <w:bookmarkStart w:id="104" w:name="_Toc38"/>
      <w:bookmarkEnd w:id="103"/>
      <w:r>
        <w:rPr>
          <w:rtl w:val="true"/>
        </w:rPr>
        <w:t>بيان أظهر الاحتمالات في الرواية</w:t>
      </w:r>
      <w:bookmarkEnd w:id="104"/>
    </w:p>
    <w:p>
      <w:pPr>
        <w:pStyle w:val="BookText"/>
        <w:rPr/>
      </w:pPr>
      <w:r>
        <w:rPr>
          <w:rFonts w:ascii="Amiri" w:hAnsi="Amiri" w:eastAsia="Amiri" w:cs="Amiri"/>
          <w:color w:val="111111"/>
          <w:sz w:val="28"/>
          <w:sz w:val="28"/>
          <w:szCs w:val="28"/>
          <w:rtl w:val="true"/>
          <w:lang w:bidi="ar-SA"/>
        </w:rPr>
        <w:t>و هاهنا احتمال آخر، لعلّه الأظهر منها، مع كونه سليماً عن هذا التفكيك المخالف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يُراد من اليقين و الشكّ في جميع الجمل نفس حقيقتهما الجامعة بين الخصوصيّات و الأفراد كما هو ظاهرهما، و لا ينافي ذلك اختلاف حكمهما باختلاف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اليقين لا تنقض بالشكّ، و لعدم نقضها به فيما نحن فيه مصداقان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نقض اليقين بالركعات المحرزة، و عدم إبطالها لأجل الشك في الركعة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نقض اليقين بعدم الركعة الرابعة بالشكّ في إتيانها، و كلاهما داخلان تحت حقيقة عدم نقض اليقين بالشكّ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إدخال حقيقة الشكّ في اليقين، و عدم خلط أحدهما بالآخر، له أيضاً</w:t>
      </w:r>
    </w:p>
    <w:p>
      <w:pPr>
        <w:pStyle w:val="BookText"/>
        <w:rPr/>
      </w:pPr>
      <w:r>
        <w:rPr>
          <w:rFonts w:ascii="IRNazanin" w:hAnsi="IRNazanin" w:eastAsia="IRNazanin"/>
          <w:color w:val="111111"/>
          <w:sz w:val="28"/>
          <w:sz w:val="28"/>
          <w:szCs w:val="28"/>
          <w:rtl w:val="true"/>
          <w:lang w:bidi="fa-IR"/>
        </w:rPr>
        <w:t>مصداقان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الاكتفاء بالركعة المشكوك فيها من غير 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إتيان الركعة المُضافة المشكوك فيها مُتّصلة بالركعات المحرزة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نقل بظهور النهي عن الإدخال و الخلط في الفصل الاختياريّ، و إلّا يكون له مصداق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ينقض الشكّ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بالإتيان بالركعة المُتيقّنة، و عدم الاعتداد بالمشكوك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 على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بإتيان الركعة اليقينيّة، و عدم الاعتداد بالمشكوك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يعتدّ بالشكّ في حال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الاعتداد به فيما نحن فيه هو بالبناء على عدم الركعة المشكوك فيها، و الإتيان بالركعة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تكون الرواية مع تعرّضها للمذهب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الإتيان بالركعة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متعرضة لعدم إبطال الركعات المُحرزة، و لاستصحاب عدم الركعة المشكوك فيها، و تكون على هذا من الأدلّة العامّة لحُجّية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الاحتمال أرجح من سائر الاحتمالات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التفكيك حينئذٍ بين الجمل؛ لحمل الرواية على بيان قواعد كلّية، هي عدم نقض اليقين بالشكّ، و عدم إدخال الشكّ في اليقين، و نقض الشكّ باليقين، و عدم الاعتداد بالشكّ في حال من الأحوال، و هي قواعد كلّية يفهم منها حكم المقام لانطباقها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فلحفظ ظهور اللّام في الجنس، و عدم حملها على العهد، و حفظ ظهور اليقين بإرادة نفس الحقيقة، لا الخصوصيّات و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فلحفظ الظهور السياقيّ؛ فإنَّ الظاهر أنَّ قوله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w:t>
      </w:r>
      <w:bookmarkStart w:id="105" w:name="pg2245_12680"/>
    </w:p>
    <w:p>
      <w:pPr>
        <w:pStyle w:val="BookText"/>
        <w:rPr/>
      </w:pPr>
      <w:bookmarkEnd w:id="105"/>
      <w:r>
        <w:rPr>
          <w:rFonts w:ascii="Amiri" w:hAnsi="Amiri" w:eastAsia="Amiri" w:cs="Amiri"/>
          <w:color w:val="111111"/>
          <w:sz w:val="28"/>
          <w:sz w:val="28"/>
          <w:szCs w:val="28"/>
          <w:rtl w:val="true"/>
          <w:lang w:bidi="ar-SA"/>
        </w:rPr>
        <w:t>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جميع الروايات يكون بمعنى واحد، هو عدم رفع اليد عن اليقين بمُجرّد الشكّ، و الاستصحاب أحد مصاديق هذه الكلّية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الشكّ الساري فيها؛ لأنَّ الظاهر فعليّة الشكّ و اليقين، كما في الاستصحاب و في الركعات الغير المنقوضة بالركعة المشكوك فيها، و أمّا في الشكّ الساري فلا يكون اليقين فعليّاً</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613957_3804643083"/>
      <w:bookmarkStart w:id="107" w:name="_Toc39"/>
      <w:bookmarkEnd w:id="106"/>
      <w:r>
        <w:rPr>
          <w:rtl w:val="true"/>
        </w:rPr>
        <w:t>و منها</w:t>
      </w:r>
      <w:r>
        <w:rPr>
          <w:rtl w:val="true"/>
        </w:rPr>
        <w:t xml:space="preserve">: </w:t>
      </w:r>
      <w:r>
        <w:rPr>
          <w:rtl w:val="true"/>
        </w:rPr>
        <w:t>موثّقة إسحاق بن عمّار</w:t>
      </w:r>
      <w:bookmarkEnd w:id="10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عن أبي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الموثّقة وردت في الشكّ في الركعات الذي كان محلّ الخلاف بين المُسلمين في أنَّه هل يجب فيه البناء على الأقلّ و إتيان المشكوك فيها مُتّصلة</w:t>
      </w:r>
      <w:r>
        <w:rPr>
          <w:rStyle w:val="FootnoteAnchor"/>
          <w:rtl w:val="true"/>
        </w:rPr>
        <w:footnoteReference w:id="117"/>
      </w:r>
      <w:r>
        <w:rPr>
          <w:rFonts w:ascii="Amiri" w:hAnsi="Amiri" w:eastAsia="Amiri" w:cs="Amiri"/>
          <w:color w:val="111111"/>
          <w:sz w:val="28"/>
          <w:sz w:val="28"/>
          <w:szCs w:val="28"/>
          <w:rtl w:val="true"/>
          <w:lang w:bidi="ar-SA"/>
        </w:rPr>
        <w:t xml:space="preserve">أو الأكثرِ و إتيانها مُنفصلة، فتكون كسائر الروايات الواردة بهذا المضمون؛ من البناء على النقصان، و البناء على اليقين و الجزم </w:t>
      </w:r>
      <w:r>
        <w:rPr>
          <w:rStyle w:val="FootnoteAnchor"/>
          <w:rtl w:val="true"/>
        </w:rPr>
        <w:footnoteReference w:id="118"/>
      </w:r>
      <w:r>
        <w:rPr>
          <w:rFonts w:ascii="Amiri" w:hAnsi="Amiri" w:eastAsia="Amiri" w:cs="Amiri"/>
          <w:color w:val="111111"/>
          <w:sz w:val="28"/>
          <w:sz w:val="28"/>
          <w:szCs w:val="28"/>
          <w:rtl w:val="true"/>
          <w:lang w:bidi="ar-SA"/>
        </w:rPr>
        <w:t>و التعبير بمثله لعلّه من باب التقيّة؟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البناء على اليقين أي الأقلّ و البناء على الأكثر، و هي عدم جواز الاكتفاء بالأقلّ كما اتفقت عليه الروايات، و هذا معنى</w:t>
      </w:r>
      <w:bookmarkStart w:id="108" w:name="pg2245_12681"/>
    </w:p>
    <w:p>
      <w:pPr>
        <w:pStyle w:val="BookText"/>
        <w:rPr/>
      </w:pPr>
      <w:bookmarkEnd w:id="108"/>
      <w:r>
        <w:rPr>
          <w:rFonts w:ascii="Amiri" w:hAnsi="Amiri" w:eastAsia="Amiri" w:cs="Amiri"/>
          <w:color w:val="111111"/>
          <w:sz w:val="28"/>
          <w:sz w:val="28"/>
          <w:szCs w:val="28"/>
          <w:rtl w:val="true"/>
          <w:lang w:bidi="ar-SA"/>
        </w:rPr>
        <w:t>البناء على اليقين، و على الجزم، و على النقصان، و إنّما الاختلاف بينها في الإتيان بالسلام و انفصال الركعة، أو عدمه و اتصالها، فالرواية الدالّة على البناء على الأكثر تدلّ على الفصل بالسلام، و الدالّة على البناء على الأقلّ ظاهرة في الإتيان مُتّصلة، فهما مُتحدتا المضمون من جهة الإتيان بالركعة، و عدم الاكتفاء بالمشكوك فيها، و مُختلفتاه في الاتصال و الانفصال، فالتعبّد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وجوب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الاستصحاب من جهة عدم إتيان الركعة، فالبناء على اليقين يدلّ على استصحاب عدم الإتيان، و ظاهره الإتيان مُتّصلة، و لكن ترفع اليد عنه بالأدلّة الدالّة على الإتيان منفصلة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الدالّة على البناء على الأكثر و الإتيان بالركعة المُنفصلة تدلّ على أنَّ الإتيان بها إنّما يكون من باب الاحتياط، لا من باب الاستصحاب، فتنافى الأخبار الدالّة على البناء على اليقين، فلا محمل لها إلّا التقيّة، و أمّا الحمل على اليقين بالبراءة</w:t>
      </w:r>
      <w:r>
        <w:rPr>
          <w:rStyle w:val="FootnoteAnchor"/>
          <w:rtl w:val="true"/>
        </w:rPr>
        <w:footnoteReference w:id="120"/>
      </w:r>
      <w:r>
        <w:rPr>
          <w:rFonts w:ascii="Amiri" w:hAnsi="Amiri" w:eastAsia="Amiri" w:cs="Amiri"/>
          <w:color w:val="111111"/>
          <w:sz w:val="28"/>
          <w:sz w:val="28"/>
          <w:szCs w:val="28"/>
          <w:rtl w:val="true"/>
          <w:lang w:bidi="ar-SA"/>
        </w:rPr>
        <w:t>فهو محمل بعيد، كما لا يخفى هذا إذا خصصنا الموثّقة بالشكّ في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بالتعميم، و أنَّ مضمونها أصل كلّي في جميع الأبواب خرج منه الشكّ في الركعات، فدلالتها على الاستصحاب ظاهرة؛ لظهورها في فعليّة الشكّ و اليقين مع وحدة المُتعلّق، فلا تنطبق إلّا على الاستصحاب</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613959_3804643083"/>
      <w:bookmarkStart w:id="110" w:name="_Toc40"/>
      <w:bookmarkEnd w:id="109"/>
      <w:r>
        <w:rPr>
          <w:rtl w:val="true"/>
        </w:rPr>
        <w:t>[</w:t>
      </w:r>
      <w:r>
        <w:rPr>
          <w:rtl w:val="true"/>
        </w:rPr>
        <w:t>فمنها</w:t>
      </w:r>
      <w:r>
        <w:rPr>
          <w:rtl w:val="true"/>
        </w:rPr>
        <w:t xml:space="preserve">: </w:t>
      </w:r>
      <w:r>
        <w:rPr>
          <w:rtl w:val="true"/>
        </w:rPr>
        <w:t>رواية محمّد بن مسلم</w:t>
      </w:r>
      <w:bookmarkEnd w:id="11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محمّد بن مسلم </w:t>
      </w:r>
      <w:r>
        <w:rPr>
          <w:rStyle w:val="FootnoteAnchor"/>
          <w:rtl w:val="true"/>
        </w:rPr>
        <w:footnoteReference w:id="12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يقين فشكّ</w:t>
      </w:r>
      <w:bookmarkStart w:id="111" w:name="pg2245_12682"/>
    </w:p>
    <w:p>
      <w:pPr>
        <w:pStyle w:val="BookText"/>
        <w:rPr/>
      </w:pPr>
      <w:bookmarkEnd w:id="111"/>
      <w:r>
        <w:rPr>
          <w:rFonts w:ascii="Amiri" w:hAnsi="Amiri" w:eastAsia="Amiri" w:cs="Amiri"/>
          <w:color w:val="111111"/>
          <w:sz w:val="28"/>
          <w:sz w:val="28"/>
          <w:szCs w:val="28"/>
          <w:rtl w:val="true"/>
          <w:lang w:bidi="ar-SA"/>
        </w:rPr>
        <w:t>فليمض على يقينه؛ فإنَّ الشكّ لا ينقض اليقين</w:t>
      </w:r>
      <w:r>
        <w:rPr>
          <w:rFonts w:eastAsia="Amiri" w:cs="Amiri" w:ascii="Amiri" w:hAnsi="Amiri"/>
          <w:color w:val="111111"/>
          <w:sz w:val="28"/>
          <w:szCs w:val="28"/>
          <w:rtl w:val="true"/>
          <w:lang w:bidi="ar-SA"/>
        </w:rPr>
        <w:t>)</w:t>
      </w:r>
    </w:p>
    <w:p>
      <w:pPr>
        <w:pStyle w:val="BookText"/>
        <w:rPr/>
      </w:pP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فأصابه شكّ فليمض على يقينه؛ فإنَّ اليقين لا يدفع بالشكّ</w:t>
      </w:r>
      <w:r>
        <w:rPr>
          <w:rFonts w:eastAsia="Amiri" w:cs="Amiri" w:ascii="Amiri" w:hAnsi="Amiri"/>
          <w:color w:val="111111"/>
          <w:sz w:val="28"/>
          <w:szCs w:val="28"/>
          <w:rtl w:val="true"/>
          <w:lang w:bidi="ar-SA"/>
        </w:rPr>
        <w:t>)</w:t>
      </w:r>
    </w:p>
    <w:p>
      <w:pPr>
        <w:pStyle w:val="BookText"/>
        <w:rPr/>
      </w:pP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على يقين بشي‌ء في الزمن السابق كالطهارة مثلًا، فشكّ في اللّاحق فيها، فليمض على يقينه في زمن الشكّ، فتدلّان على الاستصحاب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اليقين لا يكون متقيّداً بالزمان، فمعنى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يقين بشي‌ء، لا بشي‌ء مُتقيّد بالزمان، فعلى هذا يكون الشكّ أيضاً في الزمن اللّاحق متعلّقاً بهذا الشي‌ء من غير تقيّده بالزمان،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الزمن السابق مُتيقّناً بعدالة زيد، ثمّ أصابك شكّ فيها في الزمن اللّاحق، فامض على يقينك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ظهور هذا الكلام في الاستصحاب، لا الشكّ الساري، و احتماله مخالف للظاهر المُتفاهم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ظهور اليقين و الشكّ المأخوذين في الرواية في الفعليين منهما؛ أي لا يدفع بالشكّ الفعليّ اليقين الفعليّ، مع أنَّ الظهور السياقيّ أيضاً يقتضي الحمل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ظاهرتان في الاستصحاب، و لا إشكال في دلالتهما على القاعدة الكلّية</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613961_3804643083"/>
      <w:bookmarkStart w:id="113" w:name="_Toc41"/>
      <w:bookmarkEnd w:id="112"/>
      <w:r>
        <w:rPr>
          <w:rtl w:val="true"/>
        </w:rPr>
        <w:t>و منها</w:t>
      </w:r>
      <w:r>
        <w:rPr>
          <w:rtl w:val="true"/>
        </w:rPr>
        <w:t xml:space="preserve">: </w:t>
      </w:r>
      <w:r>
        <w:rPr>
          <w:rtl w:val="true"/>
        </w:rPr>
        <w:t>مكاتبة عليّ بن محمّد القاسانيّ</w:t>
      </w:r>
      <w:bookmarkEnd w:id="11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عليّ بن محمّد القاسانيّ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و أنا بالمدينة عن اليوم الذي يشكّ فيه من رمضان هل يُصام أم لا؟</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يدخله الشكّ، صم للرؤية و أفطر للرؤية</w:t>
      </w:r>
      <w:r>
        <w:rPr>
          <w:rFonts w:eastAsia="Amiri" w:cs="Amiri" w:ascii="Amiri" w:hAnsi="Amiri"/>
          <w:color w:val="111111"/>
          <w:sz w:val="28"/>
          <w:szCs w:val="28"/>
          <w:rtl w:val="true"/>
          <w:lang w:bidi="ar-SA"/>
        </w:rPr>
        <w:t>)</w:t>
      </w:r>
    </w:p>
    <w:p>
      <w:pPr>
        <w:pStyle w:val="BookText"/>
        <w:rPr/>
      </w:pP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الإنصاف أنَّ هذه الرواية أظهر ما في هذا الباب من أخبار الاستصحاب </w:t>
      </w:r>
      <w:r>
        <w:rPr>
          <w:rStyle w:val="FootnoteAnchor"/>
          <w:rtl w:val="true"/>
        </w:rPr>
        <w:footnoteReference w:id="126"/>
      </w:r>
      <w:r>
        <w:rPr>
          <w:rFonts w:ascii="Amiri" w:hAnsi="Amiri" w:eastAsia="Amiri" w:cs="Amiri"/>
          <w:color w:val="111111"/>
          <w:sz w:val="28"/>
          <w:sz w:val="28"/>
          <w:szCs w:val="28"/>
          <w:rtl w:val="true"/>
          <w:lang w:bidi="ar-SA"/>
        </w:rPr>
        <w:t>و أنكر بعضهم دلالتها عليه، فضلًا عن أظهريّتها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الأظهريّة كدعوى عدم الدلالة ممنوعة، بل هي ظاهرة في الاستصحاب، لكن بعض الروايات المُتقدّمة مثل صحيحة زرارة الاولى أظهر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أصل دلالتها عليه، فلأنَّ الظاهر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 أفطر للرؤية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أنّهما تفريعان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يدخله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يحتمل أن يكون مقصود السائل من يوم الشكّ مطلق يوم الشكّ، سواء كان من آخر شعبان، أو آخر رمضان، و يحتمل أن يكون المراد يوم الشكّ بين شعبان و رمضان، أو بين رمضان و شوّال، و الظاهر بُعْد الاحتمال الثالث، فبقي الاحتمالان، و على أيّهما، يكون الجواب بملاحظة التفريعين المذكورين عن مطلق يوم الشك في أوّل رمضان كان، أو في آخره، فحينئذٍ لا ينطبق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يدخله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على الاستصحاب، فيتفرّع عليه استصحاب عدم دخول رمضان، و عدم دخول شوّال إلى زمان الرؤية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كون المُراد من اليقين هو اليقين بدخول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اليقين بدخوله الذي يعتبر في صحّة الصوم لا يدخله الشكّ في دخوله؛ أي لا يجوز صوم يوم الشكّ من رمضان الذي تواترت الأخبار على اعتبار اليقين بدخوله في صحّة الصوم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كمال بعده، لا يناسب تفريع كلّ من الصوم و الإفطار للرؤية عليه</w:t>
      </w:r>
      <w:r>
        <w:rPr>
          <w:rFonts w:eastAsia="Amiri" w:cs="Amiri" w:ascii="Amiri" w:hAnsi="Amiri"/>
          <w:color w:val="111111"/>
          <w:sz w:val="28"/>
          <w:szCs w:val="28"/>
          <w:rtl w:val="true"/>
          <w:lang w:bidi="ar-SA"/>
        </w:rPr>
        <w:t>.</w:t>
      </w:r>
      <w:bookmarkStart w:id="114" w:name="pg2245_12684"/>
    </w:p>
    <w:p>
      <w:pPr>
        <w:pStyle w:val="BookText"/>
        <w:rPr/>
      </w:pPr>
      <w:bookmarkEnd w:id="114"/>
      <w:r>
        <w:rPr>
          <w:rFonts w:ascii="Amiri" w:hAnsi="Amiri" w:eastAsia="Amiri" w:cs="Amiri"/>
          <w:color w:val="111111"/>
          <w:sz w:val="28"/>
          <w:sz w:val="28"/>
          <w:szCs w:val="28"/>
          <w:rtl w:val="true"/>
          <w:lang w:bidi="ar-SA"/>
        </w:rPr>
        <w:t>كما أنَّ احتمال كون المُراد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يدخله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اليقين بالتكليف لا يدخله الشكّ، فيكون المُراد أنَّ الاشتغال اليقينيّ لا بدّ له من البراءة اليقينيّة</w:t>
      </w:r>
      <w:r>
        <w:rPr>
          <w:rStyle w:val="FootnoteAnchor"/>
          <w:rtl w:val="true"/>
        </w:rPr>
        <w:footnoteReference w:id="129"/>
      </w:r>
      <w:r>
        <w:rPr>
          <w:rFonts w:ascii="Amiri" w:hAnsi="Amiri" w:eastAsia="Amiri" w:cs="Amiri"/>
          <w:color w:val="111111"/>
          <w:sz w:val="28"/>
          <w:sz w:val="28"/>
          <w:szCs w:val="28"/>
          <w:rtl w:val="true"/>
          <w:lang w:bidi="ar-SA"/>
        </w:rPr>
        <w:t>غير صحيح؛ لأنَّ لازمه لزوم صوم يوم الشكّ و لو كان من آخر شعبان، فلا يناسب التفريعين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يناسبهما احتمال كون المُراد منه أنَّ اليقين بأيّام رمضان لا يدخله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بدّ أن تكون أيّام رمضان محرزة باليقين، و لا يجوز الصوم مع الشكّ في كون اليوم من رمضان </w:t>
      </w:r>
      <w:r>
        <w:rPr>
          <w:rStyle w:val="FootnoteAnchor"/>
          <w:rtl w:val="true"/>
        </w:rPr>
        <w:footnoteReference w:id="130"/>
      </w:r>
      <w:r>
        <w:rPr>
          <w:rFonts w:ascii="Amiri" w:hAnsi="Amiri" w:eastAsia="Amiri" w:cs="Amiri"/>
          <w:color w:val="111111"/>
          <w:sz w:val="28"/>
          <w:sz w:val="28"/>
          <w:szCs w:val="28"/>
          <w:rtl w:val="true"/>
          <w:lang w:bidi="ar-SA"/>
        </w:rPr>
        <w:t>لأنَّ لازمه عدم جواز صوم يوم الشكّ بين رمضان و شوّال، فالأظهر من بين الاحتمالات هو الاحتمال الأوّل المُنطبق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الأخبار الواردة في الباب ممّا يستفاد منها حُجّية الاستصحاب</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613963_3804643083"/>
      <w:bookmarkStart w:id="116" w:name="_Toc42"/>
      <w:bookmarkEnd w:id="115"/>
      <w:r>
        <w:rPr>
          <w:rtl w:val="true"/>
        </w:rPr>
        <w:t>تذييل حول الاستدلال بأدلّة قاعدتي الحلّية و الطهارة على الاستصحاب و الجواب عنه</w:t>
      </w:r>
      <w:bookmarkEnd w:id="116"/>
    </w:p>
    <w:p>
      <w:pPr>
        <w:pStyle w:val="BookText"/>
        <w:rPr/>
      </w:pPr>
      <w:r>
        <w:rPr>
          <w:rFonts w:ascii="Amiri" w:hAnsi="Amiri" w:eastAsia="Amiri" w:cs="Amiri"/>
          <w:color w:val="111111"/>
          <w:sz w:val="28"/>
          <w:sz w:val="28"/>
          <w:szCs w:val="28"/>
          <w:rtl w:val="true"/>
          <w:lang w:bidi="ar-SA"/>
        </w:rPr>
        <w:t>ربما يستدلّ على اعتبار الاستصحاب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p>
    <w:p>
      <w:pPr>
        <w:pStyle w:val="BookText"/>
        <w:rPr/>
      </w:pPr>
      <w:r>
        <w:rPr>
          <w:rStyle w:val="FootnoteAnchor"/>
          <w:rtl w:val="true"/>
        </w:rPr>
        <w:footnoteReference w:id="13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أنَّه نجس</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w:t>
      </w:r>
    </w:p>
    <w:p>
      <w:pPr>
        <w:pStyle w:val="BookText"/>
        <w:rPr/>
      </w:pPr>
      <w:r>
        <w:rPr>
          <w:rFonts w:ascii="Amiri" w:hAnsi="Amiri" w:eastAsia="Amiri" w:cs="Amiri"/>
          <w:color w:val="111111"/>
          <w:sz w:val="28"/>
          <w:sz w:val="28"/>
          <w:szCs w:val="28"/>
          <w:rtl w:val="true"/>
          <w:lang w:bidi="ar-SA"/>
        </w:rPr>
        <w:t>تعرف أنَّه حرام</w:t>
      </w:r>
      <w:r>
        <w:rPr>
          <w:rFonts w:eastAsia="Amiri" w:cs="Amiri" w:ascii="Amiri" w:hAnsi="Amiri"/>
          <w:color w:val="111111"/>
          <w:sz w:val="28"/>
          <w:szCs w:val="28"/>
          <w:rtl w:val="true"/>
          <w:lang w:bidi="ar-SA"/>
        </w:rPr>
        <w:t>)</w:t>
      </w:r>
    </w:p>
    <w:p>
      <w:pPr>
        <w:pStyle w:val="BookText"/>
        <w:rPr/>
      </w:pP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المُحقّق الخراسانيّ رحمه اللَّه ذهب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دلالة الصدر على الحكم الواقعيّ، و دلالة الغاية على الاستصحاب،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دلالة الصدر على الحكم الواقعيّ و قاعدة الطهارة و الحلّية، و الغاية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بيان الأوّل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الصدر ظاهر في بيان حكم الأشياء بعناوينها الأوّلية، لا بما هي مشكوكة الحكم، و الغاية تدلّ على استمرار ما حكم على الموضوع واقعاً من الطهارة و الحلّية ظاهراً، ما لم يعلم بطروّ ضدّه أو نقيضه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الصدر بعمومه يدلّ على الحكم الواقعيّ، و بإطلاقه على المشكوك،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بعمومه يدلّ على الحكم الواقعيّ و على المشكوك فيه؛ فإنَّ بعض الشكوك اللّازمة للموضوع داخلة في العموم، و نحكم في البقيّة بعدم القول بالفصل، و الغاية تدلّ على الاستصحاب كما ذكر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أفاده نظر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الطهارة و الحلّية الواقعيّتين ليستا من الأحكام المجعولة الشرعيّة؛ للزوم إمكان كون شي‌ء بحسب الواقع لا طاهراً و لا نجساً، و لا حلالًا و لا حراماً؛ لأنَّ النجاسة و الحرمة مجعولتان بلا إشكال و كلام، فلو فرض جعل النجاسة و الحرمة لأشياء خاصّة، و جعل الطهارة و الحلّية لأشياء اخرى خاصّة يلزم أن تكون الأشياء غير المُتعلّقة للجعلين لا طاهرة و لا نجسة، و لا حلالًا و لا حراماً، و هذا واضح البطلان في ارتكاز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الأعيان الخارجيّة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يستقذره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يستقذره، و إنّما يستقذر الثاني بملاقاته للأوّل و تلوّثه به، و التطهير عرفاً عبارة عن إزالة التلوّث بالغسل، و إرجاع الشي‌ء إلى حالته الأصليّة غير المستقذرة، لا إيجاد شي‌ء زائد على ذاته، به يكون طاهراً، و الظاهر أنَّ نظر الشرع كالعرف في ذلك، إلّا في إلحاق بعض الامور غير المُستقذرة عرفاً بالنجاسات، و إخراج بعض المُستقذرات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الحلّية لم تكن مجعولة؛ فإنَّ الشي‌ء إذا لم يشتمل على المفسدة الأكيدة يكون حلالًا و إن لم يشتمل على مصلحة، فلا تكون الطهارة و الحلّية من المجعولات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الطهارة و الحلّية الظاهريَّتان مجعولتان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حمل على الواقعيّتين منهما يكون إخباراً عن ذات الأشياء، لا إنشاء الطهارة و الحلّية، فالجمع بين القاعدة و الحكم الواقعيّ يلزم منه الجمع بين الإخبار و الإنشاء في جملة واحدة، و هو غير ممكن،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معنى جعل الطهارة و الحلّية الظاهريّتين هو الحكم بالبناء العمليّ عليهما حتّى يعلم خلافهما، و معنى جعل الواقعيّتين منهما هو إنشاء ذاتهما، لا البناء عليهما، و الجمع بين هذين الجعلين ممّا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الحكم الظاهريّ مجعول للمشكوك بما أنَّه مشكوك، و الحكم الواقعي مجعول للذات مع قطع النظر عن الحكم الواقعيّ، و لا يمكن الجمع بين هذين اللّحاظين المُتنافيين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الحكم في قاعدة الطهارة و الحلّية يكون للمشكوك فيه، فلا محالة تكون غايتهما العلم بالقذارة و الحرمة، فجعل الغاية للحكم المغيّا بالغاية ذاتاً ممّا</w:t>
      </w:r>
    </w:p>
    <w:p>
      <w:pPr>
        <w:pStyle w:val="BookText"/>
        <w:rPr/>
      </w:pPr>
      <w:r>
        <w:rPr>
          <w:rFonts w:ascii="Amiri" w:hAnsi="Amiri" w:eastAsia="Amiri" w:cs="Amiri"/>
          <w:color w:val="111111"/>
          <w:sz w:val="28"/>
          <w:sz w:val="28"/>
          <w:szCs w:val="28"/>
          <w:rtl w:val="true"/>
          <w:lang w:bidi="ar-SA"/>
        </w:rPr>
        <w:t>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إنّما تكون للطهارة و الحلّية الواقعيّتين؛ لأجل القرينة العقليّة، و هي عدم إمكان جعل الغاية للحكم الظاهريّ،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و الحلّية الواقعيّتين مُستمرّتان إلى أن يعلم خلافهما، لكن جعل الغاية للطهارة و الحلّية الواقعيّتين لازمه استمرار الواقعيّتين منهما في زمن الشكّ، لا الظاهريّتين، و يرجع حينئذٍ إلى تخصيص أدلّة النجاسات و المحرّمات الواقعيّة، فتكون النجاسات و المحرمات في صورة الشكّ فيهما طاهرة و حلالًا واقعاً، و هو كما ترى باطل لو لم يكن مُمتنعاً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الحكم الواقعي و القاعدة و الاستصحاب ممّا لا يمكن، فلا بدّ من إرادة واحدة منها، و معلوم أنَّ الروايات ظاهرة في قاعدة الحلّ و الطهارة، بل مع فرض إمكان الجمع بينها أو بين الاثنين منها يكون ظهورها في القاعدتين محكّماً، و ليس كلّ ما يمكن يراد</w:t>
      </w:r>
      <w:r>
        <w:rPr>
          <w:rFonts w:eastAsia="Amiri" w:cs="Amiri" w:ascii="Amiri" w:hAnsi="Amiri"/>
          <w:color w:val="111111"/>
          <w:sz w:val="28"/>
          <w:szCs w:val="28"/>
          <w:rtl w:val="true"/>
          <w:lang w:bidi="ar-SA"/>
        </w:rPr>
        <w:t>.</w:t>
      </w:r>
      <w:bookmarkStart w:id="117" w:name="pg2245_12689"/>
    </w:p>
    <w:p>
      <w:pPr>
        <w:pStyle w:val="Heading2"/>
        <w:numPr>
          <w:ilvl w:val="1"/>
          <w:numId w:val="1"/>
        </w:numPr>
        <w:rPr/>
      </w:pPr>
      <w:bookmarkStart w:id="118" w:name="__RefHeading___Toc1613965_3804643083"/>
      <w:bookmarkStart w:id="119" w:name="_Toc43"/>
      <w:bookmarkEnd w:id="117"/>
      <w:bookmarkEnd w:id="118"/>
      <w:r>
        <w:rPr>
          <w:rtl w:val="true"/>
        </w:rPr>
        <w:t>فصل الأحكام الوضعيّة و تحقيق ماهيّتها</w:t>
      </w:r>
      <w:bookmarkEnd w:id="119"/>
    </w:p>
    <w:p>
      <w:pPr>
        <w:pStyle w:val="Heading3"/>
        <w:numPr>
          <w:ilvl w:val="2"/>
          <w:numId w:val="1"/>
        </w:numPr>
        <w:rPr/>
      </w:pPr>
      <w:bookmarkStart w:id="120" w:name="__RefHeading___Toc1613967_3804643083"/>
      <w:bookmarkStart w:id="121" w:name="_Toc44"/>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 xml:space="preserve">لا بأس بصرف الكلام إلى بيان حال الوضع تبعاً للمُحقّق الخراساني </w:t>
      </w:r>
      <w:r>
        <w:rPr>
          <w:rStyle w:val="FootnoteAnchor"/>
          <w:rtl w:val="true"/>
        </w:rPr>
        <w:footnoteReference w:id="136"/>
      </w:r>
      <w:r>
        <w:rPr>
          <w:rFonts w:ascii="Amiri" w:hAnsi="Amiri" w:eastAsia="Amiri" w:cs="Amiri"/>
          <w:color w:val="111111"/>
          <w:sz w:val="28"/>
          <w:sz w:val="28"/>
          <w:szCs w:val="28"/>
          <w:rtl w:val="true"/>
          <w:lang w:bidi="ar-SA"/>
        </w:rPr>
        <w:t>، و تحقيق المقام يتمّ برسم امور</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613969_3804643083"/>
      <w:bookmarkStart w:id="123" w:name="_Toc45"/>
      <w:bookmarkEnd w:id="122"/>
      <w:r>
        <w:rPr>
          <w:rtl w:val="true"/>
        </w:rPr>
        <w:t>الأمر الأوّل تقسيم الحكم إلى تكليفي و وضعي</w:t>
      </w:r>
      <w:bookmarkEnd w:id="12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إشكال في تقسيم الحكم إلى التكليفيّ و الوضعيّ، و الظاهر أنَّه ينقسم إليهما بالاشتراك المعنويّ، فلا بدّ من جامع بينهما، و الظاهر أنَّ الجامع هو كونهما من المقرّرات الشرعيّة؛ لأنَّ كلّ مقرَّر و قانون من مقنّن نافذ في المجتمع يطلق عليه الحكم،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تعالى بحرمة شرب الخمر، و وجوب صلاة الجمعة، و حكم بضمان اليد و الإتلاف، و حكم بنجاسة الكلب و الخنزير، و حكم بأنَّ المواقيت خمسة</w:t>
      </w:r>
    </w:p>
    <w:p>
      <w:pPr>
        <w:pStyle w:val="BookText"/>
        <w:rPr/>
      </w:pPr>
      <w:r>
        <w:rPr>
          <w:rFonts w:ascii="Amiri" w:hAnsi="Amiri" w:eastAsia="Amiri" w:cs="Amiri"/>
          <w:color w:val="111111"/>
          <w:sz w:val="28"/>
          <w:sz w:val="28"/>
          <w:szCs w:val="28"/>
          <w:rtl w:val="true"/>
          <w:lang w:bidi="ar-SA"/>
        </w:rPr>
        <w:t>أو ستّة، و كذا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السلطان بأنَّ جزاء السارق كذا، و سعر الأجناس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مقرَّر و قانون عرفيّ أو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له أهليّة التقرير و التقنين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تكليفاً كان أو وضعاً، و لا تخرج المقرّرات الشرعيّة أو العرفيّة عن واحد منهما، و لا ثالث لهما، فمثل الرسالة و الخلافة و الإمامة و الحكومة و الإمارة و القضاء من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 جَعَلْنا نَبِيًّا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 قالَ وَ 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نصب رسول اللَّه صلى اللَّه عليه و آله أمير المؤمنين عليه السلام إماماً و أميراً على الناس يوم الغدير</w:t>
      </w:r>
      <w:r>
        <w:rPr>
          <w:rStyle w:val="FootnoteAnchor"/>
          <w:rtl w:val="true"/>
        </w:rPr>
        <w:footnoteReference w:id="140"/>
      </w:r>
      <w:r>
        <w:rPr>
          <w:rFonts w:ascii="Amiri" w:hAnsi="Amiri" w:eastAsia="Amiri" w:cs="Amiri"/>
          <w:color w:val="111111"/>
          <w:sz w:val="28"/>
          <w:sz w:val="28"/>
          <w:szCs w:val="28"/>
          <w:rtl w:val="true"/>
          <w:lang w:bidi="ar-SA"/>
        </w:rPr>
        <w:t>، و جعل القضاة من ناحية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كجعل الأمير 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 النبوّة و الإمامة و الخلافة من المناصب الإلهيّة التي جعلها اللَّه و قررها، فهي من الأحكام الوضعيّة أو من الوضعيّات و إن لم يصدق عليها الأحكام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فاستيحاش بعض أعاظم العصر رحمه اللَّه من كون أمثال ذلك من الأحكام الوضعيّة</w:t>
      </w:r>
      <w:r>
        <w:rPr>
          <w:rStyle w:val="FootnoteAnchor"/>
          <w:rtl w:val="true"/>
        </w:rPr>
        <w:footnoteReference w:id="141"/>
      </w:r>
      <w:r>
        <w:rPr>
          <w:rFonts w:ascii="Amiri" w:hAnsi="Amiri" w:eastAsia="Amiri" w:cs="Amiri"/>
          <w:color w:val="111111"/>
          <w:sz w:val="28"/>
          <w:sz w:val="28"/>
          <w:szCs w:val="28"/>
          <w:rtl w:val="true"/>
          <w:lang w:bidi="ar-SA"/>
        </w:rPr>
        <w:t>في غير محلّه، إلّا أن يرجع إلى بحث لغويّ و هو عدم صدق الحكم عليها،</w:t>
      </w:r>
    </w:p>
    <w:p>
      <w:pPr>
        <w:pStyle w:val="BookText"/>
        <w:rPr/>
      </w:pPr>
      <w:r>
        <w:rPr>
          <w:rFonts w:ascii="Amiri" w:hAnsi="Amiri" w:eastAsia="Amiri" w:cs="Amiri"/>
          <w:color w:val="111111"/>
          <w:sz w:val="28"/>
          <w:sz w:val="28"/>
          <w:szCs w:val="28"/>
          <w:rtl w:val="true"/>
          <w:lang w:bidi="ar-SA"/>
        </w:rPr>
        <w:t>و هو كما ترى كاستيحاشه من كون الماهيّة المُخترعة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Style w:val="FootnoteAnchor"/>
          <w:rtl w:val="true"/>
        </w:rPr>
        <w:footnoteReference w:id="142"/>
      </w:r>
      <w:r>
        <w:rPr>
          <w:rFonts w:ascii="Amiri" w:hAnsi="Amiri" w:eastAsia="Amiri" w:cs="Amiri"/>
          <w:color w:val="111111"/>
          <w:sz w:val="28"/>
          <w:sz w:val="28"/>
          <w:szCs w:val="28"/>
          <w:rtl w:val="true"/>
          <w:lang w:bidi="ar-SA"/>
        </w:rPr>
        <w:t>فإنَّها قبل تعلّق الأمر بها و إن لم تكن من الأحكام الوضعيّة، لكنّها لم تكن قبله من الماهيّات المُخترعة أيضاً؛ لعدم كونها حينئذٍ من المُقرّرات الشرعيّة، و إنّما تصير مُخترعات شرعيّة بعد ما قرّرها الشارع في شريعته بجعلها متعلّقة للأوامر، و حينئذٍ تصير كالجزئيّة و الشرطيّة و المانعيّة للمأمور به من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الجزئيّة و الكلّية في كونهما أمرين مُنتزعين عن تعلّق الأمر بالطبيعة، فيكون نحو تقرّرهما في الشريعة بكونهما مُنتزعين من الأوامر المُتعلّقة بالطبائع المُركّبة، فمن جعل الجزئيّة للمأمور به من الأحكام الوضعيّة مع اعترافه بكونها انتزاعية فليجعل الكلّية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جعل الماهيّات الاختراعيّة من الأحكام الوضعيّة؛ أي من المُقرّرات الشرعيّة و الوضعيّات الإلهيّة، و لكن إطلاق الحكم عليها كإطلاقه على كثير من الوضعيّات يحتاج إلى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الصلاة و الصوم كنفس الفاتحة و الركوع و السجود مع قطع النظر عن تعلّق الأمر بهما و صيرورتهما من المُقرّرات الشرعيّة، لا تعدّان من الأحكام الوضعيّة، و لا من الماهيّات المُخترعة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المُقرّرات الشرعيّة تنقسم إلى الوضع و التكليف و لا ثالث لهما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الحكم على بعضها أوضح من صدقه على الآخر، بل في بعضها غير صادق، لكن كلامنا ليس في صدق الحكم و عدمه، بل في مطلق الوضعيّات، صدق عليها أو لا</w:t>
      </w:r>
      <w:r>
        <w:rPr>
          <w:rFonts w:eastAsia="Amiri" w:cs="Amiri" w:ascii="Amiri" w:hAnsi="Amiri"/>
          <w:color w:val="111111"/>
          <w:sz w:val="28"/>
          <w:szCs w:val="28"/>
          <w:rtl w:val="true"/>
          <w:lang w:bidi="ar-SA"/>
        </w:rPr>
        <w:t>.</w:t>
      </w:r>
      <w:bookmarkStart w:id="124" w:name="pg2245_12692"/>
    </w:p>
    <w:p>
      <w:pPr>
        <w:pStyle w:val="Heading3"/>
        <w:numPr>
          <w:ilvl w:val="2"/>
          <w:numId w:val="1"/>
        </w:numPr>
        <w:rPr/>
      </w:pPr>
      <w:bookmarkStart w:id="125" w:name="__RefHeading___Toc1613971_3804643083"/>
      <w:bookmarkStart w:id="126" w:name="_Toc46"/>
      <w:bookmarkEnd w:id="124"/>
      <w:bookmarkEnd w:id="125"/>
      <w:r>
        <w:rPr>
          <w:rtl w:val="true"/>
        </w:rPr>
        <w:t>الأمر الثاني بعض موارد الخلط بين التكوين و التشريع</w:t>
      </w:r>
      <w:bookmarkEnd w:id="126"/>
    </w:p>
    <w:p>
      <w:pPr>
        <w:pStyle w:val="Heading4"/>
        <w:numPr>
          <w:ilvl w:val="3"/>
          <w:numId w:val="1"/>
        </w:numPr>
        <w:rPr/>
      </w:pPr>
      <w:bookmarkStart w:id="127" w:name="__RefHeading___Toc1613973_3804643083"/>
      <w:bookmarkStart w:id="128" w:name="_Toc47"/>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إنَّه كثيراً ما يقع الخلط بين الامور التكوينيّة و التشريعيّة، فيُسري الغافل الحكم من التكوين إلى التشريع،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قرع بعض الأسماع أنَّ الامور الانتزاعيّة يكون جعلها و رفعها بمناشئ انتزاعها، فلا يمكن جعل الفوقيّة و التحتيّة للجسمين إلّا بجعلهما بوضع خاصّ، يكون أحدهما أقرب إلى المركز و الآخر إلى المُحيط، فبعد ذلك تنتزع الفوقيّة و التحتيّة منهما قهراً، و لا يمكن جعلهما و رفعهما استقلالًا، فجعل هذا الحكم التكوينيّ مقياساً للُامور التشريعيّة، فقايس الامور التشريعيّة بالأُمور التكوينيّة، فذهب إلى امتناع جعل الجزئيّة و الشرطيّة و المانعيّة للمأمور به و رفعها عنه استقلالًا، و زعم أنَّ جعلها بجعل منشأ انتزاعها كالأُمور التكوينيّة</w:t>
      </w:r>
      <w:r>
        <w:rPr>
          <w:rStyle w:val="FootnoteAnchor"/>
          <w:rtl w:val="true"/>
        </w:rPr>
        <w:footnoteReference w:id="143"/>
      </w:r>
      <w:r>
        <w:rPr>
          <w:rFonts w:ascii="Amiri" w:hAnsi="Amiri" w:eastAsia="Amiri" w:cs="Amiri"/>
          <w:color w:val="111111"/>
          <w:sz w:val="28"/>
          <w:sz w:val="28"/>
          <w:szCs w:val="28"/>
          <w:rtl w:val="true"/>
          <w:lang w:bidi="ar-SA"/>
        </w:rPr>
        <w:t>، مع أنَّ القياس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الامور الاعتباريّة تابعة لكيفيّة اعتبارها و جعلها، فقد يتعلّق الأمر القانونيّ بطبيعة أوّلًا على نحو الإطلاق لاقتضاء في ذلك، ثمّ تحدث مصلحة في أن يجعل لها شرط، أو يُجعل لها قاطع و مانع بلا رفع الأمر القانونيّ الأوّل، فلو قال المولى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 وُجُوهَكُمْ وَ أَيْدِيَكُمْ إِلَى الْمَرافِقِ</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الصلاة الوضوء أو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وبر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الثوب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ينتزع منها الشرطيّة و المانعيّة، فهل ترى أنَّه يلزم أن يرفع الأمر الأوّل و ينسخه، ثمّ يأمر بالصلاة مع التقيّد بالشرط أو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مانع من جعل الوجوب للطبيعة المُطلقة بحسب الجعل الأوّلي، ثمّ يجعلها</w:t>
      </w:r>
    </w:p>
    <w:p>
      <w:pPr>
        <w:pStyle w:val="BookText"/>
        <w:rPr/>
      </w:pPr>
      <w:r>
        <w:rPr>
          <w:rFonts w:ascii="Amiri" w:hAnsi="Amiri" w:eastAsia="Amiri" w:cs="Amiri"/>
          <w:color w:val="111111"/>
          <w:sz w:val="28"/>
          <w:sz w:val="28"/>
          <w:szCs w:val="28"/>
          <w:rtl w:val="true"/>
          <w:lang w:bidi="ar-SA"/>
        </w:rPr>
        <w:t>مشروطة بشي‌ء بجعل مُستقلّ، أو يجعل شيئاً مانعاً لها بنحو الاستقلال لاقتضاء حادث، كما غيّر اللَّه قبلة المُسلمين إلى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من قبيل نسخ حكم الصلاة رأساً و إبداء حكم آخر، أو كان الجعل مُتعلّقاً بالقبلة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كون المُنتزعات التكوينيّة تابعة لمناشئ انتزاعها لا يوجب أن تكون الشرائط و الموانع التشريعيّة كذلك، و كذا الكلام في إسقاط شرط أو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الامور الاعتباريّة و الجعليّة كما يمكن جعلها بتبع منشأ انتزاعها، يُمكن جعلها مُستقلًاّ بلا إشكال و ريب، كما يُمكن إسقاطها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الواقعيّة إذا تعلّقت بطبيعة لا يُمكن أن تنقلب عمّا هي عليه من زيادة جُزء أو شرط أو مانع، أو إسقاطها مع بقائها على ما هي عليه؛ لأنَّ تشخّصها بتشخّص المُراد، فلا يمكن بقاء الإرادة مع تغيّر المُراد، بخلاف الامور القانونيّة فإنَّها تابعة لكيفيّة تعلّق الجعل بها هذا حال الشروط و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حال إسقاط الجزئية،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أسقطت جزئيّة الحمد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ساقطة مع بقاء الأمر القانونيّ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حال جعل الجُزئيّة 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المُتعلّقة بالطبائع المُركّبة إنّما تتعلّق بها في حال لحاظ الوحدة، و لا يكون الأمر بها مُتعلّقاً بالأجزاء، بحيث ينحلّ الأمر إلى الأوامر، و لا الأمر الذي هو بسيط مبسوطاً على الأجزاء، بل لا يكون في البين إلّا أمر واحد مُتعلّق بنفس الطبيعة في حال الوحدة، و هذا لا ينافي كون الطبيعة هي نفس الأجزاء في لحاظ التفصيل، فإذا أمر المولى بالصلاة لا يلاحظ إلّا نفس طبيعتها، و تكون الأجزاء مغفولًا عنها</w:t>
      </w:r>
      <w:r>
        <w:rPr>
          <w:rFonts w:eastAsia="Amiri" w:cs="Amiri" w:ascii="Amiri" w:hAnsi="Amiri"/>
          <w:color w:val="111111"/>
          <w:sz w:val="28"/>
          <w:szCs w:val="28"/>
          <w:rtl w:val="true"/>
          <w:lang w:bidi="ar-SA"/>
        </w:rPr>
        <w:t>.</w:t>
      </w:r>
      <w:bookmarkStart w:id="129" w:name="pg2245_12694"/>
    </w:p>
    <w:p>
      <w:pPr>
        <w:pStyle w:val="BookText"/>
        <w:rPr/>
      </w:pPr>
      <w:bookmarkEnd w:id="129"/>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بالطبيعة يدعو إلى نفس الطبيعة بالذات، و إلى الأجزاء بعين دعوته إلى الطبيعة، فإذا جعل المولى جزءاً للطبيعة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p>
    <w:p>
      <w:pPr>
        <w:pStyle w:val="BookText"/>
        <w:rPr/>
      </w:pPr>
      <w:r>
        <w:rPr>
          <w:rStyle w:val="FootnoteAnchor"/>
          <w:rtl w:val="true"/>
        </w:rPr>
        <w:footnoteReference w:id="14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الفاتحة جزءاً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الأمر المُتعلّق بالطبيعة إليها بنفس دعوته إلى الطبيعة، كما إذا أسقط جزءاً منها تكون دعوة الأمر إلى الطبيعة دعوة إلى بقيّة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وجهاً لامتناع تعلّق الجعل الاستقلاليّ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توهّم كون التشريع كالتكوين، و إلّا فلو لم يرد من المولى إلّا الأمر بطبيعة، ثمّ صدر منه أمر آخر يدلّ على اشتراطها بشي‌ء، أو جعل شي‌ء جزءاً منها، فهل يجوز للعبد ترك الشرط أو الجزء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بدّ من صدور أمر آخر مُتعلّق بالطبيعة المُتقيّدة أو المُركبة من هذا الجزء، و لم يصدر منه على القطع إلّا الأمر بالطبيعة و الدليل الدالّ على الاشتراط أو الجزئية، و ذلك لا يكفي في الدعوة و البعث، و هل هذا إلّا كلام شعريّ مُخالف للحُجّة القطعيّة؟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613975_3804643083"/>
      <w:bookmarkStart w:id="131" w:name="_Toc48"/>
      <w:bookmarkEnd w:id="130"/>
      <w:r>
        <w:rPr>
          <w:rtl w:val="true"/>
        </w:rPr>
        <w:t>توهّم عدم قبول السببيّة للجعل و دفعه</w:t>
      </w:r>
      <w:bookmarkEnd w:id="13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موارد الخلط بين التكوين و التشريع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السببيّة ممّا لا تقبل الجعل لا تكويناً و لا تشريعاً، لا أصالة و لا تبعاً، بل الذي يقبله هو ذات السبب و وجوده العينيّ، و أمّا السببيّة فهي من لوازم ذاته كزوجيّة الأربعة؛ فإنَّ السببيّة عبارة عن الرشح و الإفاضة القائمة بذات السبب التي تقتضي وجود المُسبّب، و هذا الرشح و الإفاضة من لوازم الذات، لا يمكن أن تنالها يد الجعل التكوينيّ، فضلًا عن التشريعيّ، بل هي كسائر</w:t>
      </w:r>
    </w:p>
    <w:p>
      <w:pPr>
        <w:pStyle w:val="BookText"/>
        <w:rPr/>
      </w:pPr>
      <w:r>
        <w:rPr>
          <w:rFonts w:ascii="Amiri" w:hAnsi="Amiri" w:eastAsia="Amiri" w:cs="Amiri"/>
          <w:color w:val="111111"/>
          <w:sz w:val="28"/>
          <w:sz w:val="28"/>
          <w:szCs w:val="28"/>
          <w:rtl w:val="true"/>
          <w:lang w:bidi="ar-SA"/>
        </w:rPr>
        <w:t xml:space="preserve">لوازم الماهيّة تكوينها إنّما يكون بتكوين الماهيّة، فَعِلِّية العلّة و سببيّة السبب كوجوب الواجب و إمكان المُمكن إنّما تكون من خارج المحمول، تُنتزع عن مقام الذات، ليس لها ما بحذاء، لا في وعاء العين، و لا في وعاء الاعتبار، فالعلّية لا تقبل الإيجاد التكويني فضلًا عن الإنشاء التشريعيّ </w:t>
      </w:r>
      <w:r>
        <w:rPr>
          <w:rStyle w:val="FootnoteAnchor"/>
          <w:rtl w:val="true"/>
        </w:rPr>
        <w:footnoteReference w:id="148"/>
      </w:r>
      <w:r>
        <w:rPr>
          <w:rFonts w:ascii="Amiri" w:hAnsi="Amiri" w:eastAsia="Amiri" w:cs="Amiri"/>
          <w:color w:val="111111"/>
          <w:sz w:val="28"/>
          <w:sz w:val="28"/>
          <w:szCs w:val="28"/>
          <w:rtl w:val="true"/>
          <w:lang w:bidi="ar-SA"/>
        </w:rPr>
        <w:t>، هذا ما ذكره بعض أعاظم العصر رحمه اللَّه في وجه عدم إمكان جعل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خلطه بين لوازم الماهيّة و لوازم الوجود، و خلطه بين المحمول بالضميمة و خارج المحمول، و خلطه بين السببيّة؛ أي الخصوصيّة التي يصير المبدأ بها مبدأً فعليّاً للمُسبّب، و بين الرشح و الإفاضة أي المُسبّب بما أنَّه مُسبّب أنَّه خلط بين الأسباب التكوينيّة و الأسباب التشريعيّة، و قاس التشريع بالتكوين بلا وجه؛ فإنَّ نحو السببيّة التكوينيّة سواءً كانت بمعنى مبدئيّة الإفاضة، أو نفس الرشح و الإفاضة لا يكون في التشريعيّات مُطلقاً، فلا يكون العقد مُترشّحاً منه الملكيّة أو الزوجية، و التحرير مُترشّحاً منه الحرّية، كما لا تكون في العقود و الإيقاعات خصوصيّات بها تصير منشأ لحقائق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المنشئية لأمر حقيقيّ تكوينيّ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صيرورتها منشأً حقيقيّاً للاعتبار؛ فلأنَّ الاعتبارات القائمة بنفس المنشئ أو العقلاء أو الشارع، لها مناشئ تكوينيّة، لا تكون العقود و الإيقاعات أسباباً لتكوّنها فيها، فالسببيّة للُامور التشريعيّة و الاعتبارات العقلائيّة إنّما هي بمعنى آخر غير السببيّة التكوينيّة، بل هي عبارة عن جعل شي‌ء موضوعاً للاعتبار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فالمُقنّن المشرّع إذا جعل قول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الشرائط المُقرّرة في قانونه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لرفع عُلقة الزوجيّة يرجع جعله و تشريعه إلى صيرورة هذا الكلام مع الشرائط</w:t>
      </w:r>
      <w:bookmarkStart w:id="132" w:name="pg2245_12696"/>
    </w:p>
    <w:p>
      <w:pPr>
        <w:pStyle w:val="BookText"/>
        <w:rPr/>
      </w:pPr>
      <w:bookmarkEnd w:id="132"/>
      <w:r>
        <w:rPr>
          <w:rFonts w:ascii="Amiri" w:hAnsi="Amiri" w:eastAsia="Amiri" w:cs="Amiri"/>
          <w:color w:val="111111"/>
          <w:sz w:val="28"/>
          <w:sz w:val="28"/>
          <w:szCs w:val="28"/>
          <w:rtl w:val="true"/>
          <w:lang w:bidi="ar-SA"/>
        </w:rPr>
        <w:t>موضوعاً لاعتبار فسخ العقد و رفع عُلْقة الزوجيّة، و لأجل نفوذه في الامّة يصير نافذاً، فقبل جعل قول الزوج سبباً لحل العقد لا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له و موضوعاً لإنفاذ الشارع المُقنّن، و بعد جعل السببيّة له يصير سبباً و موضوعاً لاعتباره القانونيّ المُتبع في امّته و قومه، من غير تحقّق رشح و إفاضة و خصوصيّة، فالسببيّة من المجعولات التشريعيّة</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للشارع و المُقنّن أن يجعل المسبّبات عقيب الأسباب، و أن يجعل نفس سببية الأسباب للمُسبّبات، و الثاني أقرب إلى الاعتبار في المجعولات القانونيّة فتدبّر</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613977_3804643083"/>
      <w:bookmarkStart w:id="134" w:name="_Toc49"/>
      <w:bookmarkEnd w:id="133"/>
      <w:r>
        <w:rPr>
          <w:rtl w:val="true"/>
        </w:rPr>
        <w:t>الأمر الثالث إنَّ الملكيّة ليست من المقولات حقيقة</w:t>
      </w:r>
      <w:bookmarkEnd w:id="134"/>
    </w:p>
    <w:p>
      <w:pPr>
        <w:pStyle w:val="Heading4"/>
        <w:numPr>
          <w:ilvl w:val="3"/>
          <w:numId w:val="1"/>
        </w:numPr>
        <w:rPr/>
      </w:pPr>
      <w:bookmarkStart w:id="135" w:name="__RefHeading___Toc1613979_3804643083"/>
      <w:bookmarkStart w:id="136" w:name="_Toc50"/>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إنَّ تلك الامور التشريعيّة في القانون الشرعيّ أو القوانين العرفيّة لا يكون لها نحو تحقّق إلّا في عالم الاعتبار، و ليس لما يعتبر من الملكيّة و الزوجيّة و الحرّية و الرقّيّة و أمثالها إلّا وجود اعتباريّ، فلا يندرج واحد منها تحت مقولة من المقولات اندراجاً حقيقيّاً، فلا تكون الملكيّة من مقولة الجِدَة، و لا من مقولة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مفهوم الملكيّة مفهوم إضافيّ، لكن لا يوجب ذلك اندراج الملكيّة الاعتباريّة تحت مقولة الإضافة، كما هو المعلوم عند أهله </w:t>
      </w:r>
      <w:r>
        <w:rPr>
          <w:rStyle w:val="FootnoteAnchor"/>
          <w:rtl w:val="true"/>
        </w:rPr>
        <w:footnoteReference w:id="149"/>
      </w:r>
      <w:r>
        <w:rPr>
          <w:rFonts w:ascii="Amiri" w:hAnsi="Amiri" w:eastAsia="Amiri" w:cs="Amiri"/>
          <w:color w:val="111111"/>
          <w:sz w:val="28"/>
          <w:sz w:val="28"/>
          <w:szCs w:val="28"/>
          <w:rtl w:val="true"/>
          <w:lang w:bidi="ar-SA"/>
        </w:rPr>
        <w:t>، فقول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مقولة الجِدَة لها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الملكيّة الاعتباريّة، حتّى عدّ مالكيّة اللَّه تعالى أيضاً من مراتبها</w:t>
      </w:r>
      <w:r>
        <w:rPr>
          <w:rStyle w:val="FootnoteAnchor"/>
          <w:rtl w:val="true"/>
        </w:rPr>
        <w:footnoteReference w:id="150"/>
      </w:r>
      <w:r>
        <w:rPr>
          <w:rFonts w:ascii="Amiri" w:hAnsi="Amiri" w:eastAsia="Amiri" w:cs="Amiri"/>
          <w:color w:val="111111"/>
          <w:sz w:val="28"/>
          <w:sz w:val="28"/>
          <w:szCs w:val="28"/>
          <w:rtl w:val="true"/>
          <w:lang w:bidi="ar-SA"/>
        </w:rPr>
        <w:t>لا ينبغي أن يصغى إليه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تشبّه بمقولة الإضافة من وجه، و بمقولة الجِدَة من وجهٍ</w:t>
      </w:r>
      <w:bookmarkStart w:id="137" w:name="pg2245_12697"/>
    </w:p>
    <w:p>
      <w:pPr>
        <w:pStyle w:val="BookText"/>
        <w:rPr/>
      </w:pPr>
      <w:bookmarkEnd w:id="137"/>
      <w:r>
        <w:rPr>
          <w:rFonts w:ascii="IRNazanin" w:hAnsi="IRNazanin" w:eastAsia="IRNazanin"/>
          <w:color w:val="111111"/>
          <w:sz w:val="28"/>
          <w:sz w:val="28"/>
          <w:szCs w:val="28"/>
          <w:rtl w:val="true"/>
          <w:lang w:bidi="fa-IR"/>
        </w:rPr>
        <w:t>آخر</w:t>
      </w:r>
      <w:r>
        <w:rPr>
          <w:rStyle w:val="FootnoteAnchor"/>
          <w:rtl w:val="true"/>
        </w:rPr>
        <w:footnoteReference w:id="151"/>
      </w:r>
      <w:r>
        <w:rPr>
          <w:rFonts w:ascii="Amiri" w:hAnsi="Amiri" w:eastAsia="Amiri" w:cs="Amiri"/>
          <w:color w:val="111111"/>
          <w:sz w:val="28"/>
          <w:sz w:val="28"/>
          <w:szCs w:val="28"/>
          <w:rtl w:val="true"/>
          <w:lang w:bidi="ar-SA"/>
        </w:rPr>
        <w:t>، لكنّ البحث في شباهتها بهما و عن وجهها ممّا لا يرجع إلى محصّل</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613981_3804643083"/>
      <w:bookmarkStart w:id="139" w:name="_Toc51"/>
      <w:bookmarkEnd w:id="138"/>
      <w:r>
        <w:rPr>
          <w:rtl w:val="true"/>
        </w:rPr>
        <w:t>أقسام الوضعيّات</w:t>
      </w:r>
      <w:bookmarkEnd w:id="139"/>
    </w:p>
    <w:p>
      <w:pPr>
        <w:pStyle w:val="BookText"/>
        <w:rPr/>
      </w:pPr>
      <w:r>
        <w:rPr>
          <w:rFonts w:ascii="Amiri" w:hAnsi="Amiri" w:eastAsia="Amiri" w:cs="Amiri"/>
          <w:color w:val="111111"/>
          <w:sz w:val="28"/>
          <w:sz w:val="28"/>
          <w:szCs w:val="28"/>
          <w:rtl w:val="true"/>
          <w:lang w:bidi="ar-SA"/>
        </w:rPr>
        <w:t>إذا عرفت ما ذكرنا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الوضعيّة عبارة عن كافّة المُقرّرات الشرعيّة ما عدا الأحكام التكليفيّة، حتّى أنَّ الإباحة الواقعيّة لو كان لها جعل تكون من الوضعيّات و الأحكام الوضعيّة، بعد اشتراكها كلّها في إمكان جعلها استقلالًا، و ليس حكم وضعيّ إلّا و يمكن أن يتطرّق إليه الجعل الاستقلاليّ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ما يكون مجعولًا بالتبع،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مجعولًا بتبع التكليف؛ بمعنى انتزاعه منه، كالجزئيّة للمُكلّف به غالباً، و الشرطيّة و المانعيّة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مجعولًا بتبع اشتراط التكليف به؛ أي ينتزع من اشتراطه به،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فإنَّ الاستطاعة لم تكن قبل هذا الجعل شرطاً للتكليف، و بعد تقييد التكليف بها انتزع منه الشرطيّة، و يمكن أن يكون دُلوك الشمس من هذا القبيل، كما يُمكن أن يكون من قيود المكلّف به كما هو الأظهر؛ فإنَّ الصلاة كما أنّها مشروطة بالستر، مشروطة بوقوعها من دُلوك الشمس إلى غَسَق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مجعولًا أصالة و هو على أنحاء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مُتعلّق الجعل ابتداءً من غير تخلّل واسطة تكوينية أو تشريعيّة، كالخلافة و النبوّة و الإمامة و القضاوة، و السببيّة و الشرطيّة و المانعيّة و القاطعيّة أحياناً، و من</w:t>
      </w:r>
    </w:p>
    <w:p>
      <w:pPr>
        <w:pStyle w:val="BookText"/>
        <w:rPr/>
      </w:pPr>
      <w:r>
        <w:rPr>
          <w:rFonts w:ascii="Amiri" w:hAnsi="Amiri" w:eastAsia="Amiri" w:cs="Amiri"/>
          <w:color w:val="111111"/>
          <w:sz w:val="28"/>
          <w:sz w:val="28"/>
          <w:szCs w:val="28"/>
          <w:rtl w:val="true"/>
          <w:lang w:bidi="ar-SA"/>
        </w:rPr>
        <w:t>ذلك جعل المواقيت و الموقفين، و جعل الصفا و المروة و المسعى من شعائر اللَّه، و أمثال ذلك، و إن أمكن أن يقال بانتزاع بعضها من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مجعولًا عقيب شي‌ء اعتباريّ أو تكويني، كضمان اليد و الإتلاف، و كحقّ السبق و التحجير، و كحقّ الرهان في باب السبق و الرماية، و كالملكيّة عقيب الإحياء و الحيازة، و من قبيله جميع الحدود الشرعيّة، و أحكام القِصاص و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مجعولًا عقيب أمر تشريعيّ قانونيّ، كالعهدة عقيب عقد الضمان، و من ذلك مفاد العقود و الإيقاعات، فإنَّ كل ذلك من التشريعيّات و الجعليّات الشرعيّة و العرفيّة التي أنفذها الشارع، و المراد من الأحكام 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العرفيّات التي أنفذها الشارع، أو لم يردع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العقود و الايقاعات و سائر الوضعيّات ذوات الأسباب يمكن أن يلتزم بجعل السببيّة،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الشارع جعل الحيازة سبباً للملكيّة، و اليد سبباً للضمان، و عقد البيع و النكاح سببين لمُسبّبهما، و يمكن أن يلتزم بجعل المُسبّب عقيب السبب، و الأوّل هو الأقرب بالاعتبار و الأسلم من الإشكال، لكن في كلّ مورد لا بدّ من ملاحظة مقتضى دليله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كثير ممّا أفاده المحقّق الخراساني </w:t>
      </w:r>
      <w:r>
        <w:rPr>
          <w:rStyle w:val="FootnoteAnchor"/>
          <w:rtl w:val="true"/>
        </w:rPr>
        <w:footnoteReference w:id="153"/>
      </w:r>
      <w:r>
        <w:rPr>
          <w:rFonts w:ascii="Amiri" w:hAnsi="Amiri" w:eastAsia="Amiri" w:cs="Amiri"/>
          <w:color w:val="111111"/>
          <w:sz w:val="28"/>
          <w:sz w:val="28"/>
          <w:szCs w:val="28"/>
          <w:rtl w:val="true"/>
          <w:lang w:bidi="ar-SA"/>
        </w:rPr>
        <w:t xml:space="preserve">و غيره </w:t>
      </w:r>
      <w:r>
        <w:rPr>
          <w:rStyle w:val="FootnoteAnchor"/>
          <w:rtl w:val="true"/>
        </w:rPr>
        <w:footnoteReference w:id="154"/>
      </w:r>
      <w:r>
        <w:rPr>
          <w:rFonts w:ascii="Amiri" w:hAnsi="Amiri" w:eastAsia="Amiri" w:cs="Amiri"/>
          <w:color w:val="111111"/>
          <w:sz w:val="28"/>
          <w:sz w:val="28"/>
          <w:szCs w:val="28"/>
          <w:rtl w:val="true"/>
          <w:lang w:bidi="ar-SA"/>
        </w:rPr>
        <w:t>في المقام، منه ما أفاده رحمه اللَّه في النحو الأوّل من الوضع، فإنَّه مع تسليم عدم تطرّق الجعل التشريعيّ مُطلقاً إلى شي‌ء لا وجه لعدّه من الأحكام الوضعيّة</w:t>
      </w:r>
      <w:r>
        <w:rPr>
          <w:rStyle w:val="FootnoteAnchor"/>
          <w:rtl w:val="true"/>
        </w:rPr>
        <w:footnoteReference w:id="155"/>
      </w:r>
      <w:r>
        <w:rPr>
          <w:rFonts w:ascii="Amiri" w:hAnsi="Amiri" w:eastAsia="Amiri" w:cs="Amiri"/>
          <w:color w:val="111111"/>
          <w:sz w:val="28"/>
          <w:sz w:val="28"/>
          <w:szCs w:val="28"/>
          <w:rtl w:val="true"/>
          <w:lang w:bidi="ar-SA"/>
        </w:rPr>
        <w:t>فإنَّ الأحكام الوضعيّة هي الأحكام الجعليّة و المُقرّرات الشرعيّة، فلا معنى لعدّ ما لا يتطرّق إليه الجعل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أنّك قد عرفت النظر</w:t>
      </w:r>
      <w:r>
        <w:rPr>
          <w:rStyle w:val="FootnoteAnchor"/>
          <w:rtl w:val="true"/>
        </w:rPr>
        <w:footnoteReference w:id="156"/>
      </w:r>
      <w:r>
        <w:rPr>
          <w:rFonts w:ascii="Amiri" w:hAnsi="Amiri" w:eastAsia="Amiri" w:cs="Amiri"/>
          <w:color w:val="111111"/>
          <w:sz w:val="28"/>
          <w:sz w:val="28"/>
          <w:szCs w:val="28"/>
          <w:rtl w:val="true"/>
          <w:lang w:bidi="ar-SA"/>
        </w:rPr>
        <w:t>في عدّ السببيّة للتكليف ممّا لا يتطرق إليه الجعل؛ فإنَّ السببيّة كالمانعيّة و الشرطيّة و الرافعيّة لأصل التكليف أيضاً من الوضعيّات المُتطرّق إليها الجعل، فإنَّ نفس دلوك الشمس إلى غسق الليل أو سببيّته للجعل و إن لم يكن مجعولًا، لكن سببيّته للوجوب يُمكن أن تكون مجعولة و مُقرّرة شرعاً، كما أنَّ الاضطرار و إن لم يكن مجعولًا، لكن يمكن جعل السببيّة لرفع التكليف له، كما يمكن رفع التكليف عقيبه، كما هو ظاهر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اضطرّوا إليه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7"/>
      </w:r>
      <w:r>
        <w:rPr>
          <w:rFonts w:ascii="Amiri" w:hAnsi="Amiri" w:eastAsia="Amiri" w:cs="Amiri"/>
          <w:color w:val="111111"/>
          <w:sz w:val="28"/>
          <w:sz w:val="28"/>
          <w:szCs w:val="28"/>
          <w:rtl w:val="true"/>
          <w:lang w:bidi="ar-SA"/>
        </w:rPr>
        <w:t>الرافع لحرمة الخمر في صورة الاضطرار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كما أنَّ عدّ بعضهم الكاشفيّة و الطريقيّة و الحُجّية و أمثال ذلك من الوضعيّات </w:t>
      </w:r>
      <w:r>
        <w:rPr>
          <w:rStyle w:val="FootnoteAnchor"/>
          <w:rtl w:val="true"/>
        </w:rPr>
        <w:footnoteReference w:id="158"/>
      </w:r>
      <w:r>
        <w:rPr>
          <w:rFonts w:ascii="Amiri" w:hAnsi="Amiri" w:eastAsia="Amiri" w:cs="Amiri"/>
          <w:color w:val="111111"/>
          <w:sz w:val="28"/>
          <w:sz w:val="28"/>
          <w:szCs w:val="28"/>
          <w:rtl w:val="true"/>
          <w:lang w:bidi="ar-SA"/>
        </w:rPr>
        <w:t xml:space="preserve">في غير محلّه؛ فإنَّ الحُجّية سواءً كانت بمعنى منجّزية التكليف، أو بمعنى قاطعيّة العذر ليست من المجعولات، كما أنَّ الطريقيّة و الكاشفيّة للكاشف و الطريق ليستا بمجعولتين، كما مرّ ذكره في محلّه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140" w:name="pg2245_12701"/>
    </w:p>
    <w:p>
      <w:pPr>
        <w:pStyle w:val="Heading2"/>
        <w:numPr>
          <w:ilvl w:val="1"/>
          <w:numId w:val="1"/>
        </w:numPr>
        <w:rPr/>
      </w:pPr>
      <w:bookmarkStart w:id="141" w:name="__RefHeading___Toc1613983_3804643083"/>
      <w:bookmarkStart w:id="142" w:name="_Toc52"/>
      <w:bookmarkEnd w:id="140"/>
      <w:bookmarkEnd w:id="141"/>
      <w:r>
        <w:rPr>
          <w:rtl w:val="true"/>
        </w:rPr>
        <w:t>تنبيهات</w:t>
      </w:r>
      <w:bookmarkEnd w:id="142"/>
    </w:p>
    <w:p>
      <w:pPr>
        <w:pStyle w:val="Heading3"/>
        <w:numPr>
          <w:ilvl w:val="2"/>
          <w:numId w:val="1"/>
        </w:numPr>
        <w:rPr/>
      </w:pPr>
      <w:bookmarkStart w:id="143" w:name="__RefHeading___Toc1613985_3804643083"/>
      <w:bookmarkStart w:id="144" w:name="_Toc53"/>
      <w:bookmarkEnd w:id="143"/>
      <w:r>
        <w:rPr>
          <w:rtl w:val="true"/>
        </w:rPr>
        <w:t>التنبيه الأوّل في اعتبار فعلية اليقين و الشك في الاستصحاب و أخذهما في موضوعه على نعت الموضوعيّة</w:t>
      </w:r>
      <w:bookmarkEnd w:id="144"/>
    </w:p>
    <w:p>
      <w:pPr>
        <w:pStyle w:val="Heading4"/>
        <w:numPr>
          <w:ilvl w:val="3"/>
          <w:numId w:val="1"/>
        </w:numPr>
        <w:rPr/>
      </w:pPr>
      <w:bookmarkStart w:id="145" w:name="__RefHeading___Toc1613987_3804643083"/>
      <w:bookmarkStart w:id="146" w:name="_Toc54"/>
      <w:bookmarkEnd w:id="145"/>
      <w:r>
        <w:rPr>
          <w:rtl w:val="true"/>
        </w:rPr>
        <w:t>اشارة</w:t>
      </w:r>
      <w:bookmarkEnd w:id="14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في الاستصحاب فعليّة الشكّ و اليقين بناءً على أخذهما موضوعاً و ركناً فيه، كما سيأتي التعرّض لذلك </w:t>
      </w:r>
      <w:r>
        <w:rPr>
          <w:rStyle w:val="FootnoteAnchor"/>
          <w:rtl w:val="true"/>
        </w:rPr>
        <w:footnoteReference w:id="160"/>
      </w:r>
      <w:r>
        <w:rPr>
          <w:rFonts w:ascii="Amiri" w:hAnsi="Amiri" w:eastAsia="Amiri" w:cs="Amiri"/>
          <w:color w:val="111111"/>
          <w:sz w:val="28"/>
          <w:sz w:val="28"/>
          <w:szCs w:val="28"/>
          <w:rtl w:val="true"/>
          <w:lang w:bidi="ar-SA"/>
        </w:rPr>
        <w:t>، و ليس المُراد من فعليّتهما تحقّقهما في خزانة النفس و لو كان الإنسان ذاهلًا عنهما، بل بمعنى الالتفات إلى يقينه السابق و شكّه اللّاحق؛ لأنَّ الاستصحاب كالأمارات إنّما اعتبر لأجل تنجيز الواقع، و إقامة الحُجّة عليه، و التحفّظ على الواقع في زمن الشكّ؛ أي يكون حُجّة من المولى على</w:t>
      </w:r>
    </w:p>
    <w:p>
      <w:pPr>
        <w:pStyle w:val="BookText"/>
        <w:rPr/>
      </w:pPr>
      <w:r>
        <w:rPr>
          <w:rFonts w:ascii="Amiri" w:hAnsi="Amiri" w:eastAsia="Amiri" w:cs="Amiri"/>
          <w:color w:val="111111"/>
          <w:sz w:val="28"/>
          <w:sz w:val="28"/>
          <w:szCs w:val="28"/>
          <w:rtl w:val="true"/>
          <w:lang w:bidi="ar-SA"/>
        </w:rPr>
        <w:t xml:space="preserve">العبد في بعض الاستصحابات، و من العبد على المولى في بعضها، و الحُجّة لا تصير حُجّة إلّا مع العلم و الالتفات </w:t>
      </w:r>
      <w:r>
        <w:rPr>
          <w:rStyle w:val="FootnoteAnchor"/>
          <w:rtl w:val="true"/>
        </w:rPr>
        <w:footnoteReference w:id="161"/>
      </w:r>
      <w:r>
        <w:rPr>
          <w:rFonts w:ascii="IRNazanin" w:hAnsi="IRNazanin" w:eastAsia="IRNazanin"/>
          <w:color w:val="111111"/>
          <w:sz w:val="28"/>
          <w:sz w:val="28"/>
          <w:szCs w:val="28"/>
          <w:rtl w:val="true"/>
          <w:lang w:bidi="fa-IR"/>
        </w:rPr>
        <w:t>، 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Style w:val="FootnoteAnchor"/>
          <w:rtl w:val="true"/>
        </w:rPr>
        <w:footnoteReference w:id="162"/>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لهما وجود واقعيّ علم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أو لا، لكنّهما لا يصيران حُجّة على الواقعيّات بوجودهما الواقعيّ، فلو دلّ دليل على حرمة الخمر مُطلقاً، و دلّ دليل آخر على حلّية قسم منها، و لم يصل المُخصّص إلى المكلّف، و ارتكب هذا القسم، و كان بحسب الواقع محرّماً؛ أي كان المُخصّص مخالفاً للواقع، يكون المُكلّف معاقباً على الواقع، و ليس له الاعتذار بأنَّ لهذا العامّ مخصّصاً واقعاً؛ لأنَّ وجوده الواقعيّ لا يكون حُجّة لا من العبد و لا عليه،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يصير حُجّة على الواقع أو عُذراً منه إذا كان المُكلّف متوجّهاً و ملتفتاً إلى الموضوع و الحكم، فلا معنى لجريان الاستصحاب مع عدم فعلية الشكّ و اليقين</w:t>
      </w:r>
    </w:p>
    <w:p>
      <w:pPr>
        <w:pStyle w:val="BookText"/>
        <w:rPr/>
      </w:pPr>
      <w:r>
        <w:rPr>
          <w:rFonts w:ascii="Amiri" w:hAnsi="Amiri" w:eastAsia="Amiri" w:cs="Amiri"/>
          <w:color w:val="111111"/>
          <w:sz w:val="28"/>
          <w:sz w:val="28"/>
          <w:szCs w:val="28"/>
          <w:rtl w:val="true"/>
          <w:lang w:bidi="ar-SA"/>
        </w:rPr>
        <w:t>هذا مضافاً إلى ظهور أدلّته في فعليّتهما أيضاً، فحينئذٍ لو كان المُكلّف قبل الصلاة شاكّاً في الطهارة مع العلم بالحدث سابقاً، و صار ذاهلًا و صلّى، ثمَّ بعد صلاته التفت إلى شكّه و يقينه لا يكون مجرىً للاستصحاب بالنسبة إلى ما قبل شروعه في الصلاة؛ للذهول عن الشكّ و اليقين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جريان قاعدة الفراغ بالنسبة إليه أيضاً</w:t>
      </w:r>
      <w:r>
        <w:rPr>
          <w:rStyle w:val="FootnoteAnchor"/>
          <w:rtl w:val="true"/>
        </w:rPr>
        <w:footnoteReference w:id="163"/>
      </w:r>
      <w:r>
        <w:rPr>
          <w:rFonts w:ascii="Amiri" w:hAnsi="Amiri" w:eastAsia="Amiri" w:cs="Amiri"/>
          <w:color w:val="111111"/>
          <w:sz w:val="28"/>
          <w:sz w:val="28"/>
          <w:szCs w:val="28"/>
          <w:rtl w:val="true"/>
          <w:lang w:bidi="ar-SA"/>
        </w:rPr>
        <w:t>فمُشكل؛ لظهور أخبارها</w:t>
      </w:r>
      <w:r>
        <w:rPr>
          <w:rStyle w:val="FootnoteAnchor"/>
          <w:rtl w:val="true"/>
        </w:rPr>
        <w:footnoteReference w:id="164"/>
      </w:r>
      <w:r>
        <w:rPr>
          <w:rFonts w:ascii="Amiri" w:hAnsi="Amiri" w:eastAsia="Amiri" w:cs="Amiri"/>
          <w:color w:val="111111"/>
          <w:sz w:val="28"/>
          <w:sz w:val="28"/>
          <w:szCs w:val="28"/>
          <w:rtl w:val="true"/>
          <w:lang w:bidi="ar-SA"/>
        </w:rPr>
        <w:t>في حدوث الشكّ بعد العمل، و هذا الشكّ ليس حادثاً بل كان باقياً في خزانة النفس، و يكون من قبيل إعادة ما سبق، أو الالتفات إلى ما كان موجوداً، فتجب إعادة الصلاة،</w:t>
      </w:r>
    </w:p>
    <w:p>
      <w:pPr>
        <w:pStyle w:val="BookText"/>
        <w:rPr/>
      </w:pPr>
      <w:r>
        <w:rPr>
          <w:rFonts w:ascii="Amiri" w:hAnsi="Amiri" w:eastAsia="Amiri" w:cs="Amiri"/>
          <w:color w:val="111111"/>
          <w:sz w:val="28"/>
          <w:sz w:val="28"/>
          <w:szCs w:val="28"/>
          <w:rtl w:val="true"/>
          <w:lang w:bidi="ar-SA"/>
        </w:rPr>
        <w:t>إمّا لأجل استصحاب الحدث بعد الصلاة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الحدث في حال الصلاة ممّا يوجب الإعادة، و هو و إن كان حكماً عقليّاً، لكنّه من الأحكام التي تكون للأعمّ من الحكم الواقعيّ و الظاهريّ، و إمّا لأجل قاعدة الاشتغال لو سلمت مُثبتيّة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اشتراط فعليّة الشكّ و اليقين إنّما هو فيما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بأخذهما في الاستصحاب على نحو الموضوعيّة؛ أي إذا كان الشكّ و اليقين ركنين فيه، و 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المُعتبر فيه هو الكون السابق و الشكّ اللّاحق، كما هو مختار الشيخ الأنصاريّ قدس سره </w:t>
      </w:r>
      <w:r>
        <w:rPr>
          <w:rStyle w:val="FootnoteAnchor"/>
          <w:rtl w:val="true"/>
        </w:rPr>
        <w:footnoteReference w:id="165"/>
      </w:r>
      <w:r>
        <w:rPr>
          <w:rFonts w:ascii="Amiri" w:hAnsi="Amiri" w:eastAsia="Amiri" w:cs="Amiri"/>
          <w:color w:val="111111"/>
          <w:sz w:val="28"/>
          <w:sz w:val="28"/>
          <w:szCs w:val="28"/>
          <w:rtl w:val="true"/>
          <w:lang w:bidi="ar-SA"/>
        </w:rPr>
        <w:t>،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الاستصحاب عبارة عن جعل الملازمة التعبدية بين الكون السابق و بقائه، كما يظهر من المُحقّق الخراسانيّ رحمه اللَّه في التنبيه الثاني </w:t>
      </w:r>
      <w:r>
        <w:rPr>
          <w:rStyle w:val="FootnoteAnchor"/>
          <w:rtl w:val="true"/>
        </w:rPr>
        <w:footnoteReference w:id="166"/>
      </w:r>
      <w:r>
        <w:rPr>
          <w:rFonts w:ascii="Amiri" w:hAnsi="Amiri" w:eastAsia="Amiri" w:cs="Amiri"/>
          <w:color w:val="111111"/>
          <w:sz w:val="28"/>
          <w:sz w:val="28"/>
          <w:szCs w:val="28"/>
          <w:rtl w:val="true"/>
          <w:lang w:bidi="ar-SA"/>
        </w:rPr>
        <w:t>، فلا يبقى مجال للبحث عن فعليّة اليقين على كلا المسلكين، و عن فعليّة الشكّ أيضاً على المسلك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يرد إشكال على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التهافت بين ما اختاره في 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فعليّة الشكّ و اليقين في الاستصحاب </w:t>
      </w:r>
      <w:r>
        <w:rPr>
          <w:rStyle w:val="FootnoteAnchor"/>
          <w:rtl w:val="true"/>
        </w:rPr>
        <w:footnoteReference w:id="167"/>
      </w:r>
      <w:r>
        <w:rPr>
          <w:rFonts w:ascii="Amiri" w:hAnsi="Amiri" w:eastAsia="Amiri" w:cs="Amiri"/>
          <w:color w:val="111111"/>
          <w:sz w:val="28"/>
          <w:sz w:val="28"/>
          <w:szCs w:val="28"/>
          <w:rtl w:val="true"/>
          <w:lang w:bidi="ar-SA"/>
        </w:rPr>
        <w:t>، و بين ما اختاره في 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في صحّة الاستصحاب بالشكّ في بقاء شي‌ءٍ على تقدير ثبوته و إن لم يحرز ثبوته، بل الظاهر منه في أواخر التنبيه، أنَّ الاستصحاب عبارة عن جعل الملازمة التعبّدية بين ثبوت الشي‌ء و بقائه؛ و ذلك لأنَّ لازم القول باعتبار فعليّة اليقين و الشكّ هو أخذهما في موضوعه، و لازم ما اختاره في التنبيه الثاني، هو عدم أخذهما فيه، أو لا أقلّ من عدم أخذ اليقين فيه ليكون مطابقاً لاختيار الشيخ، كما ربما يظهر من أوائل التنبيه الثاني، فيقع التهافت بينهما و لا مهرب منه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اعتبار الشكّ و اليقين في الاستصحاب على نعت الموضوعيّة، أو عدم</w:t>
      </w:r>
    </w:p>
    <w:p>
      <w:pPr>
        <w:pStyle w:val="BookText"/>
        <w:rPr/>
      </w:pPr>
      <w:r>
        <w:rPr>
          <w:rFonts w:ascii="Amiri" w:hAnsi="Amiri" w:eastAsia="Amiri" w:cs="Amiri"/>
          <w:color w:val="111111"/>
          <w:sz w:val="28"/>
          <w:sz w:val="28"/>
          <w:szCs w:val="28"/>
          <w:rtl w:val="true"/>
          <w:lang w:bidi="ar-SA"/>
        </w:rPr>
        <w:t>اعتبارهما، أو اعتبار الشكّ دون اليقين، أو العكس، وجوهاً و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الظاهر من أخذ العناوين في الأحكام هو الموضوعيّة و الدخالة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العناوين المرآتيّة كاليقين و العلم و أمثالهما لو اخذت في موضوع حكم، يكون الظاهر منها هو كون الموضوع هو المرئيّ بها لا المرآة، و أنَّ الشكّ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Style w:val="FootnoteAnchor"/>
          <w:rtl w:val="true"/>
        </w:rPr>
        <w:footnoteReference w:id="168"/>
      </w:r>
      <w:r>
        <w:rPr>
          <w:rFonts w:ascii="Amiri" w:hAnsi="Amiri" w:eastAsia="Amiri" w:cs="Amiri"/>
          <w:color w:val="111111"/>
          <w:sz w:val="28"/>
          <w:sz w:val="28"/>
          <w:szCs w:val="28"/>
          <w:rtl w:val="true"/>
          <w:lang w:bidi="ar-SA"/>
        </w:rPr>
        <w:t>لم يؤخذ موضوعاً، بل الظاهر إسقاط الشكّ و عدم صلاحيّته لنقض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اليقين غير مأخوذ في الموضوع لما ذكر في الوجه الثاني، و لكنّ الظاهر من الأدلّة، هو التعبّد بالبقاء في زمان الشكّ، و من هنا يظهر وجه الاحتمال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هو الأوّل؛ فإنَّ الظاهر من جميع أدلّة الاستصحاب، هو أنَّ اليقين المُقابل للشكّ لأجل كونه أمراً مُبرماً لا ينقض بالشكّ، و أنَّ العناية في التعبّد في زمان الشكّ إنّما تكون لأجل مسبوقيّته باليقين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رفع اليد عن اليقين و الشكّ بعد ظهور الأدلّة في كون العناية بهما، و أنه لا ينبغي رفع اليد عن اليقين الذي هو حُجّة مُبرمة بالشكّ الذي هو غير حُجّة و غير مُبرم، و لا ينافي موضوعيّتهما كون الاستصحاب ناظراً إلى ترتيب آثار الواقع و مُعتبراً لأجل التحفّظ عليه، كما هو كذلك في باب أداء الشهادة</w:t>
      </w:r>
      <w:r>
        <w:rPr>
          <w:rStyle w:val="FootnoteAnchor"/>
          <w:rtl w:val="true"/>
        </w:rPr>
        <w:footnoteReference w:id="169"/>
      </w:r>
      <w:r>
        <w:rPr>
          <w:rFonts w:ascii="Amiri" w:hAnsi="Amiri" w:eastAsia="Amiri" w:cs="Amiri"/>
          <w:color w:val="111111"/>
          <w:sz w:val="28"/>
          <w:sz w:val="28"/>
          <w:szCs w:val="28"/>
          <w:rtl w:val="true"/>
          <w:lang w:bidi="ar-SA"/>
        </w:rPr>
        <w:t>فإنَّ العلم مع كونه تمام الموضوع له يعتبر لأجل التحفّظ على الواقع؛ و ذلك لأنَّ أخذ اليقين موضوعاً إنّما هو جهة تعليليّة لحفظ الواقع، من غير تقيّد بإصابته، أو تركيب بينها و بين الواقع في الموضوعيّة، أو كون الواقع تمام الموضوع</w:t>
      </w:r>
      <w:r>
        <w:rPr>
          <w:rFonts w:eastAsia="Amiri" w:cs="Amiri" w:ascii="Amiri" w:hAnsi="Amiri"/>
          <w:color w:val="111111"/>
          <w:sz w:val="28"/>
          <w:szCs w:val="28"/>
          <w:rtl w:val="true"/>
          <w:lang w:bidi="ar-SA"/>
        </w:rPr>
        <w:t>.</w:t>
      </w:r>
      <w:bookmarkStart w:id="147" w:name="pg2245_12705"/>
    </w:p>
    <w:p>
      <w:pPr>
        <w:pStyle w:val="Heading4"/>
        <w:numPr>
          <w:ilvl w:val="3"/>
          <w:numId w:val="1"/>
        </w:numPr>
        <w:rPr/>
      </w:pPr>
      <w:bookmarkStart w:id="148" w:name="__RefHeading___Toc1613989_3804643083"/>
      <w:bookmarkStart w:id="149" w:name="_Toc55"/>
      <w:bookmarkEnd w:id="147"/>
      <w:bookmarkEnd w:id="148"/>
      <w:r>
        <w:rPr>
          <w:rtl w:val="true"/>
        </w:rPr>
        <w:t>إشكال جريان الاستصحاب في مؤدّيات الأمارات و جوابه</w:t>
      </w:r>
      <w:bookmarkEnd w:id="149"/>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و الشكّ مأخوذان فيه على جهة الموضوعيّة، لكن اخذ اليقين بما أنَّه طريق و كاشف، و أيضاً قد عرفت </w:t>
      </w:r>
      <w:r>
        <w:rPr>
          <w:rStyle w:val="FootnoteAnchor"/>
          <w:rtl w:val="true"/>
        </w:rPr>
        <w:footnoteReference w:id="170"/>
      </w:r>
      <w:r>
        <w:rPr>
          <w:rFonts w:ascii="Amiri" w:hAnsi="Amiri" w:eastAsia="Amiri" w:cs="Amiri"/>
          <w:color w:val="111111"/>
          <w:sz w:val="28"/>
          <w:sz w:val="28"/>
          <w:szCs w:val="28"/>
          <w:rtl w:val="true"/>
          <w:lang w:bidi="ar-SA"/>
        </w:rPr>
        <w:t>في ذيل الصحيحة الاولى أنَّ صحّة نسبة عدم نقض اليقين بالشكّ إنّما هي في اليقين بما أنَّه كاشف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الإشكال الذي أورده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الثاني في باب مؤدّيات الطرق و الأمارات، سواءً في الأحكام أو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الاستصحاب متقوّم باليقين، و الأمارات مُطلقاً لا تفيد اليقين، فينسدّ باب الاستصحاب في جلّ الأحكام الوضعيّة و التكليفيّة و كثير من الموضوعات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العلّامة الأنصاريّ و المحقّق الخراسانيّ رحمهما اللَّه في فسحة من هذا الإشكال؛ لعدم كون اليقين مُعتبراً عندهما في موضوع الاستصحاب، لكن قد عرفت </w:t>
      </w:r>
      <w:r>
        <w:rPr>
          <w:rStyle w:val="FootnoteAnchor"/>
          <w:rtl w:val="true"/>
        </w:rPr>
        <w:footnoteReference w:id="172"/>
      </w:r>
      <w:r>
        <w:rPr>
          <w:rFonts w:ascii="Amiri" w:hAnsi="Amiri" w:eastAsia="Amiri" w:cs="Amiri"/>
          <w:color w:val="111111"/>
          <w:sz w:val="28"/>
          <w:sz w:val="28"/>
          <w:szCs w:val="28"/>
          <w:rtl w:val="true"/>
          <w:lang w:bidi="ar-SA"/>
        </w:rPr>
        <w:t>الإشكال في مبناهما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المبنى المنصور فيمكن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الأدلّة بمُناسبة الحكم و الموضوع هو أنَّ الشكّ باعتبار عدم حُجّيته و إحرازه للواقع لا ينقض اليقين الذي هو حُجّة و مُحرز له؛ فإنَّه لا ينبغي أن ترفع اليد عن الحُجّة بغير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أنَّ العرف لأجل مناسبة الحكم و الموضوع يُلغي الخصوصيّة، و يحكم بأنَّ الموضوع في الاستصحاب هو الحُجّة في مقابل اللّاحجّة، فيُلحق الظنّ المُعتبر باليقين، و الظنَّ الغير المُعتبر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بل يدلّ عليه قوله في صحيحة زرارة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كنت على يقين من طهارتك ثمّ شككت، فليس ينبغي لك أن تنقض اليقين بالشكّ أبداً</w:t>
      </w:r>
      <w:r>
        <w:rPr>
          <w:rFonts w:eastAsia="Amiri" w:cs="Amiri" w:ascii="Amiri" w:hAnsi="Amiri"/>
          <w:color w:val="111111"/>
          <w:sz w:val="28"/>
          <w:szCs w:val="28"/>
          <w:rtl w:val="true"/>
          <w:lang w:bidi="ar-SA"/>
        </w:rPr>
        <w:t>)</w:t>
      </w:r>
    </w:p>
    <w:p>
      <w:pPr>
        <w:pStyle w:val="BookText"/>
        <w:rPr/>
      </w:pPr>
      <w:r>
        <w:rPr>
          <w:rStyle w:val="FootnoteAnchor"/>
          <w:rtl w:val="true"/>
        </w:rPr>
        <w:footnoteReference w:id="173"/>
      </w:r>
      <w:r>
        <w:rPr>
          <w:rFonts w:ascii="Amiri" w:hAnsi="Amiri" w:eastAsia="Amiri" w:cs="Amiri"/>
          <w:color w:val="111111"/>
          <w:sz w:val="28"/>
          <w:sz w:val="28"/>
          <w:szCs w:val="28"/>
          <w:rtl w:val="true"/>
          <w:lang w:bidi="ar-SA"/>
        </w:rPr>
        <w:t>الظاهر منه إجراء استصحاب طهارة اللباس، و لا بدّ أن تحمل الطهارة على الواقعيّة منها؛ لعدم جريان الاستصحاب في الطهارة الظاهريّة لما ذكرنا سابقاً</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الوجدانيّ بالطهارة الواقعيّة ممّا لا يمكن عادة، بل العلم إنّما يحصل بالأمارات، كأصالة الصحّة، و إخبار ذي اليد، و أمثالهما، فيرجع مفاده إلى أنَّه لا ترفع اليد عن الحُجّة القائمة بالطهارة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يُؤيّد بصحيحته الاولى أيضاً؛ فإنَّ اليقين الوجداني بالوضوء الصحيح أيضاً ممّا لا يمكن عادة، بل الغالب وقوع الشكّ في الصحّة بعده، و يحكم بصحّته بقاعدة الفراغ، بل الشكّ في طهارة ماء الوضوء يوجب الشكّ فيه، فاليقين بالوضوء أيضاً لا يكون يقيناً وجدانيّاً غالباً تأمّل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أيضاً بعض الروايات التي يظهر منها جريان الاستصحاب في مفاد بعض الأمارات، كما دلّ على جواز الشهادة و الحلف مع الاستصحاب في الغائب المُنقطع خبره إذا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 بعد ثلاثين سنة، و شكّ في إحداث الحدث في أمواله، و حدوث وارث جديد له، و كلّف القاضي الشهود ليشهدوا بأنَّ أمواله له، و ورّاثه</w:t>
      </w:r>
      <w:bookmarkStart w:id="150" w:name="pg2245_12707"/>
    </w:p>
    <w:p>
      <w:pPr>
        <w:pStyle w:val="BookText"/>
        <w:rPr/>
      </w:pPr>
      <w:bookmarkEnd w:id="150"/>
      <w:r>
        <w:rPr>
          <w:rFonts w:ascii="Amiri" w:hAnsi="Amiri" w:eastAsia="Amiri" w:cs="Amiri"/>
          <w:color w:val="111111"/>
          <w:sz w:val="28"/>
          <w:sz w:val="28"/>
          <w:szCs w:val="28"/>
          <w:rtl w:val="true"/>
          <w:lang w:bidi="ar-SA"/>
        </w:rPr>
        <w:t xml:space="preserve">منحصرون في الموجودين </w:t>
      </w:r>
      <w:r>
        <w:rPr>
          <w:rStyle w:val="FootnoteAnchor"/>
          <w:rtl w:val="true"/>
        </w:rPr>
        <w:footnoteReference w:id="175"/>
      </w:r>
      <w:r>
        <w:rPr>
          <w:rFonts w:ascii="Amiri" w:hAnsi="Amiri" w:eastAsia="Amiri" w:cs="Amiri"/>
          <w:color w:val="111111"/>
          <w:sz w:val="28"/>
          <w:sz w:val="28"/>
          <w:szCs w:val="28"/>
          <w:rtl w:val="true"/>
          <w:lang w:bidi="ar-SA"/>
        </w:rPr>
        <w:t>، فلو لا جريان الاستصحاب في مفاد الأمارات لما جازت الشهادة بأنَّ أمواله له؛ لامتناع حصول اليقين الوجدانيّ بأنَّ المال ما له، فجريان الاستصحاب في مفاد الأمارات و بعض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ادّعاه بعض أعاظم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توسعة اليقين إلى الأعمّ من الوجدانيّ و ما هو بمنزلته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مسلكه من قيام الطرق و الأمارات مقام القطع الطريقيّ؛ لحكومة أدلّتها على دليله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في مبحث القطع ما فيه؛ من أنَّ الأمارات المتداولة المُعتبرة في الشريعة أمارات عقلائيّة أمضاها الشارع لا تأسيسيّة، و ليس بناءُ العقلاء في العمل على طبق الأمارات لأجل تنزيلها منزلة القطع، بل هي أمارات مُستقلّة معمول بها، كان القطع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القطع في مورد لا يبقى محلّ للعمل بالأمارة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في باب حُجّية الأمارات يكون حاكماً على دليل الاستصحاب، و يجعل اليقين أعمّ من الوجدانيّ و غيره، و هذا واضح جدّاً</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613991_3804643083"/>
      <w:bookmarkStart w:id="152" w:name="_Toc56"/>
      <w:bookmarkEnd w:id="151"/>
      <w:r>
        <w:rPr>
          <w:rtl w:val="true"/>
        </w:rPr>
        <w:t>التنبيه الثاني في أقسام استصحاب الكلّي</w:t>
      </w:r>
      <w:bookmarkEnd w:id="152"/>
    </w:p>
    <w:p>
      <w:pPr>
        <w:pStyle w:val="Heading4"/>
        <w:numPr>
          <w:ilvl w:val="3"/>
          <w:numId w:val="1"/>
        </w:numPr>
        <w:rPr/>
      </w:pPr>
      <w:bookmarkStart w:id="153" w:name="__RefHeading___Toc1613993_3804643083"/>
      <w:bookmarkStart w:id="154" w:name="_Toc57"/>
      <w:bookmarkEnd w:id="153"/>
      <w:r>
        <w:rPr>
          <w:rtl w:val="true"/>
        </w:rPr>
        <w:t>اشارة</w:t>
      </w:r>
      <w:bookmarkEnd w:id="15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المُتيقّن السابق إذا كان كلّياً في ضمن فرده و 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الشكّ من جهة الشكّ في بقاء ذلك الفرد، و إمّا أن يكون من جهة الشكّ في تعيين الفرد و تردّده بين ما هو باقٍ جزماً و بين ما هو مرتفع كذلك، و إمّا من جهة الشكّ في تحقّق فرد آخر مع الجزم بارتفاع الفرد المُتحقّق</w:t>
      </w:r>
      <w:r>
        <w:rPr>
          <w:rFonts w:eastAsia="Amiri" w:cs="Amiri" w:ascii="Amiri" w:hAnsi="Amiri"/>
          <w:color w:val="111111"/>
          <w:sz w:val="28"/>
          <w:szCs w:val="28"/>
          <w:rtl w:val="true"/>
          <w:lang w:bidi="ar-SA"/>
        </w:rPr>
        <w:t>.</w:t>
      </w:r>
      <w:bookmarkStart w:id="155" w:name="pg2245_12708"/>
    </w:p>
    <w:p>
      <w:pPr>
        <w:pStyle w:val="Heading4"/>
        <w:numPr>
          <w:ilvl w:val="3"/>
          <w:numId w:val="1"/>
        </w:numPr>
        <w:rPr/>
      </w:pPr>
      <w:bookmarkStart w:id="156" w:name="__RefHeading___Toc1613995_3804643083"/>
      <w:bookmarkStart w:id="157" w:name="_Toc58"/>
      <w:bookmarkEnd w:id="155"/>
      <w:bookmarkEnd w:id="156"/>
      <w:r>
        <w:rPr>
          <w:rtl w:val="true"/>
        </w:rPr>
        <w:t>القسم الأوّل من استصحاب الكليّ</w:t>
      </w:r>
      <w:bookmarkEnd w:id="157"/>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جريان استصحاب الكلّي و الفرد فيه و ترتيب آثار كلّ منهما عليه، كما أنَّه لا إشكال في أنَّ جريان استصحاب الكلّي لا يُغني عن استصحاب الفرد؛ لأنَّ بقاء الكلّي يستلزم عقلًا كونه في ضمن هذا الفرد؛ لانحصاره به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يغني استصحاب الفرد عن الكلّي </w:t>
      </w:r>
      <w:r>
        <w:rPr>
          <w:rStyle w:val="FootnoteAnchor"/>
          <w:rtl w:val="true"/>
        </w:rPr>
        <w:footnoteReference w:id="179"/>
      </w:r>
      <w:r>
        <w:rPr>
          <w:rFonts w:ascii="IRNazanin" w:hAnsi="IRNazanin" w:eastAsia="IRNazanin"/>
          <w:color w:val="111111"/>
          <w:sz w:val="28"/>
          <w:sz w:val="28"/>
          <w:szCs w:val="28"/>
          <w:rtl w:val="true"/>
          <w:lang w:bidi="fa-IR"/>
        </w:rPr>
        <w:t>أم لا</w:t>
      </w:r>
      <w:r>
        <w:rPr>
          <w:rStyle w:val="FootnoteAnchor"/>
          <w:rtl w:val="true"/>
        </w:rPr>
        <w:footnoteReference w:id="180"/>
      </w:r>
      <w:r>
        <w:rPr>
          <w:rFonts w:ascii="Amiri" w:hAnsi="Amiri" w:eastAsia="Amiri" w:cs="Amiri"/>
          <w:color w:val="111111"/>
          <w:sz w:val="28"/>
          <w:sz w:val="28"/>
          <w:szCs w:val="28"/>
          <w:rtl w:val="true"/>
          <w:lang w:bidi="ar-SA"/>
        </w:rPr>
        <w:t xml:space="preserve">أو يفصّل بين ما إذا كان الكلّي بنحو صرف الوجود، و بين ما إذا كان بنحو الوجود الساري؛ لأنَّ الكلّي اعتبر في النحو الثاني مُتّحداً مع الأفراد، فجريانه في الفرد يُغني عنه؛ لأنَّه مُتّحد معه، لا مستلزم إيّاه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إغنائه عنه مُطلقاً؛ لأنَّ حيثيّة الكلّي غير حيثيّة الخصوصيّات الفرديّة في عالم الاعتبار و مقام تعلّق الأحكام بالموضوعات، فاعتبار إيجاب إكرام كلّ إنسان غير اعتبار إيجاب إكرام زيد و عمرو؛ فإنَّ الحكم قد تعلّق في الأوّل بحيثيّة إنسانيّة كلّ فرد، و هي غير الخصوصيّات الفرديّة عرفاً، فإسراء الحكم من أحد المُتّحدين في الوجود و المختلفين في الحيثيّة بالاستصحاب لا يمكن إلّا بالأصل المُثبت</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613997_3804643083"/>
      <w:bookmarkStart w:id="159" w:name="_Toc59"/>
      <w:bookmarkEnd w:id="158"/>
      <w:r>
        <w:rPr>
          <w:rtl w:val="true"/>
        </w:rPr>
        <w:t>القسم الثاني من استصحاب الكلّي</w:t>
      </w:r>
      <w:bookmarkEnd w:id="159"/>
    </w:p>
    <w:p>
      <w:pPr>
        <w:pStyle w:val="Heading5"/>
        <w:numPr>
          <w:ilvl w:val="4"/>
          <w:numId w:val="1"/>
        </w:numPr>
        <w:rPr/>
      </w:pPr>
      <w:bookmarkStart w:id="160" w:name="__RefHeading___Toc1613999_3804643083"/>
      <w:bookmarkStart w:id="161" w:name="_Toc60"/>
      <w:bookmarkEnd w:id="160"/>
      <w:r>
        <w:rPr>
          <w:rtl w:val="true"/>
        </w:rPr>
        <w:t>اشارة</w:t>
      </w:r>
      <w:bookmarkEnd w:id="16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جريان استصحاب الكلّي فيه أيضاً؛ لأنَّ المُعتبر فيه هو وحدة القضيّة المُتيقنة و المشكوك فيها عرفاً، و هو حاصل؛ لأنَّه مع العلم بوجود فرد من</w:t>
      </w:r>
    </w:p>
    <w:p>
      <w:pPr>
        <w:pStyle w:val="BookText"/>
        <w:rPr/>
      </w:pPr>
      <w:r>
        <w:rPr>
          <w:rFonts w:ascii="Amiri" w:hAnsi="Amiri" w:eastAsia="Amiri" w:cs="Amiri"/>
          <w:color w:val="111111"/>
          <w:sz w:val="28"/>
          <w:sz w:val="28"/>
          <w:szCs w:val="28"/>
          <w:rtl w:val="true"/>
          <w:lang w:bidi="ar-SA"/>
        </w:rPr>
        <w:t>الحيوان يعلم بوجود الحيوان، و مع الشكّ في كونه طويل العمر يشكّ في بقاء عين الحيوان المُتيقّن، فما هو مشكوك البقاء عين ما هو مُتيقّن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المُتيقّن السابق مردّد بين الحيوانين، و الكلّي مُتكثّر الوجود في الخارج، فالبقّ غير الفيل وجوداً و حيثيّة، حتّى إنَّ حيوانيّة البقّ أيضاً غير حيوانيّة الفيل على ما هو التحقيق في باب الكلّي الطبيعي </w:t>
      </w:r>
      <w:r>
        <w:rPr>
          <w:rStyle w:val="FootnoteAnchor"/>
          <w:rtl w:val="true"/>
        </w:rPr>
        <w:footnoteReference w:id="182"/>
      </w:r>
      <w:r>
        <w:rPr>
          <w:rFonts w:ascii="Amiri" w:hAnsi="Amiri" w:eastAsia="Amiri" w:cs="Amiri"/>
          <w:color w:val="111111"/>
          <w:sz w:val="28"/>
          <w:sz w:val="28"/>
          <w:szCs w:val="28"/>
          <w:rtl w:val="true"/>
          <w:lang w:bidi="ar-SA"/>
        </w:rPr>
        <w:t xml:space="preserve">و ما هو مشكوك البقاء ليس هذا المُتيقّن المُردّد بينهما، فلا تتّحد القضيّتان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كون الطبيعيّ مع الأفراد كذلك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استصحاب الفرد المُردّد، دون ما إذا أردنا استصحاب الكلّي؛ فإنَّ المعلوم هو حيوان خارجيّ مُتشخّص يكون الكلّي موجوداً بوجوده، و يشك في بقاء ذاك الحيوان بعينه، فلا إشكال في جريان الأصل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اغمض النظر عن وحدتهما عرفاً، فلا يُمكن التخلّص من الإشكال، سواء اريد إجراء استصحاب الكلّي المُعرّى واقعاً عن الخصوصيّة، أو استصحاب الكلّي المُتشخّص بإحدى الخصوصيّتين، أو الكلّي الخارجيّ مع قطع النظر عن الخصوصيّة؛ بدعوى أنَّ الموجود الخارجيّ له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مُشتركة بينه و بين غيره من نوعه أو جنسه في الخارج، وجهة مميّزة، و العلم بوجود أحد الفردين موجب لعلم تفصيليّ بجهة مُشتركة خارجيّة بينهما؛ و ذلك لاختلال ركني الاستصحاب أو أحدهما على جميع التقادير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فللعلم بعدم وجود الكلّي المُعرّى واقعاً عن الخصوصيّة؛</w:t>
      </w:r>
    </w:p>
    <w:p>
      <w:pPr>
        <w:pStyle w:val="BookText"/>
        <w:rPr/>
      </w:pPr>
      <w:r>
        <w:rPr>
          <w:rFonts w:ascii="Amiri" w:hAnsi="Amiri" w:eastAsia="Amiri" w:cs="Amiri"/>
          <w:color w:val="111111"/>
          <w:sz w:val="28"/>
          <w:sz w:val="28"/>
          <w:szCs w:val="28"/>
          <w:rtl w:val="true"/>
          <w:lang w:bidi="ar-SA"/>
        </w:rPr>
        <w:t>لامتناع وجوده كذلك، فيختلّ ركناه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عين العلم الإجمالي بوجود أحدهما؛ لأنَّ الكلّي المُتشخّص بكلّ خصوصيّة يُغاير المُتشخّص بالخصوصيّة الاخرى، فتكون القضيّة المُتيقّنة العلم الإجمالي بوجود أحدهما، و قضيّة اعتبار وحدتها مع المشكوك فيها أن يشكّ في بقاء المعلوم بالإجمال، و في المقام لا يكون الشكّ في بقاء المعلوم بالإجمال، بل يعلم في الزمان الثاني إجمالًا، إمّا ببقاء الطويل، أو ارتفاع القصير، و إنَّما يكون الشكّ في البقاء إذا احتمل ارتفاع ما هو المعلوم، طويل العمر كان أو قصيره، فاختلّ الركن الثاني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التقدير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الجهة المشتركة بما هي مُشتركة غير موجودة في الخارج إلّا على رأي الرجل الهمدانيّ الذي يلزم منه مفاسد كما حُقّق في محلّه </w:t>
      </w:r>
      <w:r>
        <w:rPr>
          <w:rStyle w:val="FootnoteAnchor"/>
          <w:rtl w:val="true"/>
        </w:rPr>
        <w:footnoteReference w:id="184"/>
      </w:r>
      <w:r>
        <w:rPr>
          <w:rFonts w:ascii="Amiri" w:hAnsi="Amiri" w:eastAsia="Amiri" w:cs="Amiri"/>
          <w:color w:val="111111"/>
          <w:sz w:val="28"/>
          <w:sz w:val="28"/>
          <w:szCs w:val="28"/>
          <w:rtl w:val="true"/>
          <w:lang w:bidi="ar-SA"/>
        </w:rPr>
        <w:t xml:space="preserve">، و على المسلك المنصور تكون الطبيعة في الخارج طبيعتين، فكما لا علم تفصيليّ بإحدى الخصوصيّتين، لا علم تفصيليّ بإحدى الطبيعتين؛ لامتناع حصول العلم التفصيليّ إلّا مع وحدة الطبيعة المعلومة، فحينئذٍ يأتي فيه الإشكال المُتقدّم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فالتخلّص عن الإشكال هو ما أشرنا إليه من وحدة القضيّتين عرفاً، و هي المُعتبرة في الاستصحاب، و الدليل على عرفيّة القضيّة ما ترى من عدم قبول النفوس خلافها إلّا بالبرهان، و حكم أهل العرف قاطبة ببقاء النوع الإنساني و سائر الأنواع من بدو الخلقة إلى انقراضها، و اشتهار القول بأنَّ المهملة توجد بوجود ما، و تنعدم بعدم جميع الأفراد</w:t>
      </w:r>
      <w:r>
        <w:rPr>
          <w:rStyle w:val="FootnoteAnchor"/>
          <w:rtl w:val="true"/>
        </w:rPr>
        <w:footnoteReference w:id="186"/>
      </w:r>
      <w:r>
        <w:rPr>
          <w:rFonts w:ascii="Amiri" w:hAnsi="Amiri" w:eastAsia="Amiri" w:cs="Amiri"/>
          <w:color w:val="111111"/>
          <w:sz w:val="28"/>
          <w:sz w:val="28"/>
          <w:szCs w:val="28"/>
          <w:rtl w:val="true"/>
          <w:lang w:bidi="ar-SA"/>
        </w:rPr>
        <w:t>، و غيرها ممّا هي من لوازم قول الهمدانيّ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هذا الاستصحاب ما يرد على استصحاب بقاء النهار في الشبهة 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النهار ينتهي إلى سقوط قرص الشمس، أو يبقى إلى زوال الحمرة؛ لأنَ</w:t>
      </w:r>
      <w:bookmarkStart w:id="162" w:name="pg2245_12711"/>
    </w:p>
    <w:p>
      <w:pPr>
        <w:pStyle w:val="BookText"/>
        <w:rPr/>
      </w:pPr>
      <w:bookmarkEnd w:id="162"/>
      <w:r>
        <w:rPr>
          <w:rFonts w:ascii="Amiri" w:hAnsi="Amiri" w:eastAsia="Amiri" w:cs="Amiri"/>
          <w:color w:val="111111"/>
          <w:sz w:val="28"/>
          <w:sz w:val="28"/>
          <w:szCs w:val="28"/>
          <w:rtl w:val="true"/>
          <w:lang w:bidi="ar-SA"/>
        </w:rPr>
        <w:t xml:space="preserve">الاستصحاب غير جار فيه، لعدم الشكّ في الخارج؛ لأنَّ سقوط القرص معلوم، و عدم زوال الحمرة معلوم أيضاً، فالأمر دائر بين المعلومين، و إنّما الشكّ في انطباق مفهوم النهار على احدى القطعتين </w:t>
      </w:r>
      <w:r>
        <w:rPr>
          <w:rStyle w:val="FootnoteAnchor"/>
          <w:rtl w:val="true"/>
        </w:rPr>
        <w:footnoteReference w:id="187"/>
      </w:r>
      <w:r>
        <w:rPr>
          <w:rFonts w:ascii="Amiri" w:hAnsi="Amiri" w:eastAsia="Amiri" w:cs="Amiri"/>
          <w:color w:val="111111"/>
          <w:sz w:val="28"/>
          <w:sz w:val="28"/>
          <w:szCs w:val="28"/>
          <w:rtl w:val="true"/>
          <w:lang w:bidi="ar-SA"/>
        </w:rPr>
        <w:t>، و كذا الحال فيما نحن فيه لدوران الأمر بين المقطوعين؛ لأنَّ الحيوان الخارجيّ إمّا باق قطعاً، أو مرتفع كذلك، فلا شكّ في الخارج، و إنّما الشكّ في انطباق عنوان الفيل أو البقّ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ما نحن فيه على الشبهة المفهوميّة مع الفارق؛ لأنَّ الشكّ في الشبهة المفهوميّة ليس إلّا في المعنى اللّغوي أو العرفيّ؛ أي يشكّ في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إلى هذا الحدّ أو ذلك، و هو ليس مجرى الاستصحاب، بخلاف ما نحن فيه؛ فإنَّ الشكّ إنّما هو في بقاء الحيوان الخارجيّ، و منشأ الشكّ إنّما هو الشكّ في طول عمره و قصره، و مثل ذلك لا إشكال في جريان الاستصحاب فيه إلّا من جهة الشكّ في المُقتضي، و قد فرغنا من جريانه فيه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الإشكال من جهة أنَّ الشكَّ في بقاء الكلّي مُسبّب عن الشكّ في حدوث الفرد الطويل المنفيّ بالأصل </w:t>
      </w:r>
      <w:r>
        <w:rPr>
          <w:rStyle w:val="FootnoteAnchor"/>
          <w:rtl w:val="true"/>
        </w:rPr>
        <w:footnoteReference w:id="189"/>
      </w:r>
      <w:r>
        <w:rPr>
          <w:rFonts w:ascii="IRNazanin" w:hAnsi="IRNazanin" w:eastAsia="IRNazanin"/>
          <w:color w:val="111111"/>
          <w:sz w:val="28"/>
          <w:sz w:val="28"/>
          <w:szCs w:val="28"/>
          <w:rtl w:val="true"/>
          <w:lang w:bidi="fa-IR"/>
        </w:rPr>
        <w:t>فواضح الفساد</w:t>
      </w:r>
      <w:r>
        <w:rPr>
          <w:rFonts w:eastAsia="IRNazanin" w:cs="IRNazanin"/>
          <w:color w:val="111111"/>
          <w:sz w:val="28"/>
          <w:szCs w:val="28"/>
          <w:rtl w:val="true"/>
          <w:lang w:bidi="fa-IR"/>
        </w:rPr>
        <w:t>.</w:t>
      </w:r>
    </w:p>
    <w:p>
      <w:pPr>
        <w:pStyle w:val="Heading5"/>
        <w:numPr>
          <w:ilvl w:val="4"/>
          <w:numId w:val="1"/>
        </w:numPr>
        <w:rPr/>
      </w:pPr>
      <w:bookmarkStart w:id="163" w:name="__RefHeading___Toc1614001_3804643083"/>
      <w:bookmarkStart w:id="164" w:name="_Toc61"/>
      <w:bookmarkEnd w:id="163"/>
      <w:r>
        <w:rPr>
          <w:rtl w:val="true"/>
        </w:rPr>
        <w:t>الجواب عن الشبهة العبائيّة</w:t>
      </w:r>
      <w:bookmarkEnd w:id="16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إشكال في أنَّه لا يترتّب على استصحاب الكلّي أثر الفرد و لا أثر غيره من لوازمه و ملزوماته؛ ضرورة أنَّ بقاء الكلّي مستلزم عقلًا لوجود الفرد الطويل، و هذا هو</w:t>
      </w:r>
    </w:p>
    <w:p>
      <w:pPr>
        <w:pStyle w:val="BookText"/>
        <w:rPr/>
      </w:pPr>
      <w:r>
        <w:rPr>
          <w:rFonts w:ascii="Amiri" w:hAnsi="Amiri" w:eastAsia="Amiri" w:cs="Amiri"/>
          <w:color w:val="111111"/>
          <w:sz w:val="28"/>
          <w:sz w:val="28"/>
          <w:szCs w:val="28"/>
          <w:rtl w:val="true"/>
          <w:lang w:bidi="ar-SA"/>
        </w:rPr>
        <w:t>الجواب عن الشبهة العبائيّة المعروفة</w:t>
      </w:r>
      <w:r>
        <w:rPr>
          <w:rStyle w:val="FootnoteAnchor"/>
          <w:rtl w:val="true"/>
        </w:rPr>
        <w:footnoteReference w:id="190"/>
      </w:r>
      <w:r>
        <w:rPr>
          <w:rFonts w:ascii="Amiri" w:hAnsi="Amiri" w:eastAsia="Amiri" w:cs="Amiri"/>
          <w:color w:val="111111"/>
          <w:sz w:val="28"/>
          <w:sz w:val="28"/>
          <w:szCs w:val="28"/>
          <w:rtl w:val="true"/>
          <w:lang w:bidi="ar-SA"/>
        </w:rPr>
        <w:t>فإنَّه مع تطهير أحد طرفي الثوب لا يجري استصحاب الفرد المُردّد، و لكن جريان استصحاب النجاسة و إن كان ممّا لا مانع منه؛ لأنَّ وجود النجاسة في الثوب كان مُتيقّناً، و مع تطهير أحد طرفيه يشكّ في بقائه فيه، إلّا أنَّه لا يترتّب على مُلاقاة الثوب أثر مُلاقاة النجس؛ فإنَّ استصحاب بقاء الكلّي أو الشخص الواقعيّ، لا يثبت كون مُلاقاة الأطراف مُلاقاة النجس إلّا بالأصل المُثبت، لأنَّ مُلاقاة الأطراف مُلاقاة للنجس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استصحاب نجاسة الثوب تكون المُلاقاة معها وجدانيّة؛ لأنَّ ما هو وجدانيّ هو المُلاقاة مع الثوب لا مع النجس، و استصحاب بقاء النجاسة بالنحو الكلّي و كذا استصحاب النجس الذي كان في الثوب؛ أي الشخص الواقعيّ لا يثبت أنَّ المُلاقاة مع الثوب بجميع أطرافه ملاقاة للنجاسة إلّا بالاستلزام العقليّ، و فرق واضح بين استصحاب نجاسة طرف معيّن من الثوب، و بين استصحاب نجاسة فيه بنحو غير معيّن؛ فإنَّ ملاقاة الطرف المُعيّن المُستصحب النجاسة ملاقاة للنجس المُستصحب وجداناً، فإذا حكم الشارع بأنَّ هذا المُعيّن نجس ينسلك في كُبرى شرعيّة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ملاقي النجس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ملاقاة جميع الأطراف ملاقاةً للنجس الكلّي أو الواقعي فيكون بالاستلزام العقليّ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ترى أنَّه لو وجب عليه إكرام عالم، و كان في البيت شخصان يعلم كون أحدهما عالماً، فخرج أحدهما من البيت، و بقي الآخر يجري استصحاب بقاء العالم في البيت، و يترتّب عليه أثره لو كان له أثر، لكن لا يثبت كون الشخص الموجود عالماً ليكون إكرامه عملًا بالتكليف، بخلاف ما لو كان زيد عالماً و شكّ في بقاء علمه؛ فإنَّ استصحاب كونه عالماً يكفي في كون إكرامه مُسقطاً للتكليف، كما أنَّه لو شكّ في زوال</w:t>
      </w:r>
    </w:p>
    <w:p>
      <w:pPr>
        <w:pStyle w:val="BookText"/>
        <w:rPr/>
      </w:pPr>
      <w:r>
        <w:rPr>
          <w:rFonts w:ascii="Amiri" w:hAnsi="Amiri" w:eastAsia="Amiri" w:cs="Amiri"/>
          <w:color w:val="111111"/>
          <w:sz w:val="28"/>
          <w:sz w:val="28"/>
          <w:szCs w:val="28"/>
          <w:rtl w:val="true"/>
          <w:lang w:bidi="ar-SA"/>
        </w:rPr>
        <w:t>النجاسة المعلومة بالإجمال؛ بأن يشكّ في أنَّ الثوب الذي علم كون أحد طرفيه نجساً هل غسل أم لا؟ يجري استصحاب الكلّي، و لا يثبت كون ملاقي جميع أطرافه نجساً؛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هاهنا استصحاب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استصحاب الفرد المُردّد، و أثره نجاسة ملاقي جميع الأطراف؛ فإنَّ التعبّد بنجاسة هذا الطرف أو هذا الطرف بنحو الفرد المُردّد يكون أثره نجاسة ملاقي الطرفين من غير شبهة المُثبتيّة، فهو كاستصحاب نجاسة الطرف المُعيّن من حيث إنَّ ملاقيه محكوم بالنجاسة، و الفرق بينه و بين استصحاب الكلّي واضح؛ فإنَّ استصحاب أصل النجاسة في الثوب لا يثبت أنَّ هذا الطرف أو هذا الطرف نجس، و كذا استصحاب الشخص الواقعيّ، و أمّا استصحاب الفرد المردّد فهو كالمُعيّن، فلا إشكال في جريانه و ترتيب أثر النجاسة على ملاقيه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الفرد المُردّد لا وجود له حتّى يجري الاستصحاب فيه </w:t>
      </w:r>
      <w:r>
        <w:rPr>
          <w:rStyle w:val="FootnoteAnchor"/>
          <w:rtl w:val="true"/>
        </w:rPr>
        <w:footnoteReference w:id="192"/>
      </w:r>
      <w:r>
        <w:rPr>
          <w:rFonts w:ascii="Amiri" w:hAnsi="Amiri" w:eastAsia="Amiri" w:cs="Amiri"/>
          <w:color w:val="111111"/>
          <w:sz w:val="28"/>
          <w:sz w:val="28"/>
          <w:szCs w:val="28"/>
          <w:rtl w:val="true"/>
          <w:lang w:bidi="ar-SA"/>
        </w:rPr>
        <w:t>، ليس بشي‌ء؛ ضرورة جواز التعبّد به و ترتيب الأثر عليه كالواجب التخييريّ، لكنّه محل إشكال، و القياس بالواجب التخييريّ مع الفارق؛ لأنَّ الواجب التخييريّ نحو وجوب على نعت التخيير، و لا يكون له واقع معيّن عند اللَّه مجهول عندنا، بخلاف ما نحن فيه؛ فإنَّ النجس له واقع معيّن و مجهول عندنا، فالمعلوم هو النجس الواقعيّ المُعيّن، فيجري الاستصحاب فيه، لا في الفرد المردّد، و لازمه عدم نجاسة ملاقي الأطراف، و لا بأس به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عالم بأنَّ الشارع حكم بنجاسة هذا الطرف المُعيّن أو ذاك، و المُلاقي لهما مُلاق لمُستصحب النجاسة وجداناً، و هذا هو الفارق بينه و بين</w:t>
      </w:r>
    </w:p>
    <w:p>
      <w:pPr>
        <w:pStyle w:val="BookText"/>
        <w:rPr/>
      </w:pPr>
      <w:r>
        <w:rPr>
          <w:rFonts w:ascii="Amiri" w:hAnsi="Amiri" w:eastAsia="Amiri" w:cs="Amiri"/>
          <w:color w:val="111111"/>
          <w:sz w:val="28"/>
          <w:sz w:val="28"/>
          <w:szCs w:val="28"/>
          <w:rtl w:val="true"/>
          <w:lang w:bidi="ar-SA"/>
        </w:rPr>
        <w:t xml:space="preserve">الشبهة العبائيّة المدفوعة بما تقدّم </w:t>
      </w:r>
      <w:r>
        <w:rPr>
          <w:rStyle w:val="FootnoteAnchor"/>
          <w:rtl w:val="true"/>
        </w:rPr>
        <w:footnoteReference w:id="193"/>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ادّعاه بعض أعاظم العصر رحمه اللَّه في مقام الجواب عن الشبهة العبائيّة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منع جريان استصحاب الكلّي فيما إذا كان الترديد في محلّ المُتيقّن لا في نفسه، كما لو علم بوجود حيوان في الدار، و تردّد بين أن يكون في الجانب الشرقيّ أو الغربيّ منها، ثمّ انهدم الجانب الغربيّ و احتمل تلف الحيوان، أو علم بإصابة العباء نجاسة خاصّة، و تردّد محلّها بين الطرف الأسفل و الأعلى ثمّ طهّر طرفها الأسفل، فلا يجري الاستصحاب، و لا يكون من الاستصحاب الكلّي؛ لأنَّ المُتيقّن أمر جزئيّ حقيقي لا ترديد فيه، و إنّما الترديد في المحلّ، فهو أشبه باستصحاب الفرد المُردّد عند ارتفاع أحد فردي الترديد، و ليس من الاستصحاب الكلّي، و منه يظهر الجواب عن الشبهة العبائيّة المشهورة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ما لا يخفى فإنَّ استصحاب الفرد المُردّد عبارة عن استصحابه على ما هو عليه من الترديد، و هو غير جار في المقام، و ليس المقام شبيهاً به، بل المُراد بالاستصحاب في المقام هو استصحاب بقاء الحيوان في الدار من غير تعيين محلّه، و كذا استصحاب بقاء النجاسة في الثوب من غير تعيين كونها في هذا الطرف أو ذاك، و من غير إرادة الجريان في الفرد المُردّد؛ ضرورة أنَّه مع تطهير الطرف الأسفل من الثوب ينقطع الترديد، و لا مجال لاستصحاب المُردّد، بل ما يراد استصحابه هو بقاء الحيوان في الدار و النجاسة في العباء، و هذا استصحاب الكلّي، و كون الحيوان الخاصّ فرداً جزئيّاً حقيقيّاً لا ينافي استصحاب الكلّي كما لا يخفى، كما أنَّ استصحاب الشخص الخاصّ و الجزئيّ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بقاء زيد في الدار، و بقاء النجاسة المُتحقّقة الخارجيّة الجزئيّة في الثوب</w:t>
      </w:r>
      <w:r>
        <w:rPr>
          <w:rFonts w:eastAsia="Amiri" w:cs="Amiri" w:ascii="Amiri" w:hAnsi="Amiri"/>
          <w:color w:val="111111"/>
          <w:sz w:val="28"/>
          <w:szCs w:val="28"/>
          <w:rtl w:val="true"/>
          <w:lang w:bidi="ar-SA"/>
        </w:rPr>
        <w:t>-</w:t>
      </w:r>
      <w:bookmarkStart w:id="165" w:name="pg2245_12715"/>
    </w:p>
    <w:p>
      <w:pPr>
        <w:pStyle w:val="BookText"/>
        <w:rPr/>
      </w:pPr>
      <w:bookmarkEnd w:id="165"/>
      <w:r>
        <w:rPr>
          <w:rFonts w:ascii="Amiri" w:hAnsi="Amiri" w:eastAsia="Amiri" w:cs="Amiri"/>
          <w:color w:val="111111"/>
          <w:sz w:val="28"/>
          <w:sz w:val="28"/>
          <w:szCs w:val="28"/>
          <w:rtl w:val="true"/>
          <w:lang w:bidi="ar-SA"/>
        </w:rPr>
        <w:t xml:space="preserve">ممّا لا إشكال فيه؛ فإنَّه استصحاب الفرد المشكوك فيه، و لا شباهة له باستصحاب الفرد المُردّد، فسبيل الجواب عن مثل الشبهة العبائيّة هو ما عرفت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614003_3804643083"/>
      <w:bookmarkStart w:id="167" w:name="_Toc62"/>
      <w:bookmarkEnd w:id="166"/>
      <w:r>
        <w:rPr>
          <w:rtl w:val="true"/>
        </w:rPr>
        <w:t>القسم الثالث من استصحاب الكلّي</w:t>
      </w:r>
      <w:bookmarkEnd w:id="167"/>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 الشكّ في بقاء الكلّي لاحتمال قيام فرد آخر مقام الفرد المعلوم ارتفاعه فيتصوّر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منشأ الشكّ احتمال مقارنة فرد لوجود الفرد المعلوم؛ بحيث احتمل اجتماعها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منشؤه احتمال حدوث فرد مقارناً لزوال الفرد المعلوم، سواء كان الفرد الآخر من الجواهر أو الاعراض، فإذا احتمل مقارنة فرد من السواد في جسم مع الفرد الآخر في جسم آخر علم زواله، فهو من القسم الأوّل، و إذا احتمل حدوث فرد منه مقارناً لزوال ذلك الفرد، فهو من القسم الثاني، كما أنَّه إذا احتمل تبدّل الفرد الزائل بفرد آخر مباين له في الوجود، فهو من القسم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تبدّل مرتبة من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عَرْض عريض و نقص و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بمرتبة اخرى فهو ليس من القسم الثالث رأساً؛ لأنَّ شخصيّة الفرد و هويّته باقية في جميع المراتب عقلًا و عُرفاً، فالحُمرة الشديدة إذا صارت ضعيفة ليس تبدّلها من الكمال إلى النقص تبدّلَ فرد بفرد آخر، أمّا عقلًا فواضح عند أهله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عُرفاً فلأنَّ المراتب عندهم في أمثالها من قبيل الحالات و الشئون للشي‌ء، فشدّة الحمرة و ضعفها من حالات نفس الحمرة مع بقائها ذاتاً و تشخّصاً، فالاستصحاب في مثلها من القسم الأوّل لا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علم بوجوب شي‌ء و قطع بزواله، و احتمل تبدّله بالاستحباب يكون من القسم الثالث؛ لأنَّه من قبيل تبدّل فرد من الطلب بفرد آخر مُغاير له عرفاً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استثناء الشيخ الأنصاريّ من عدم جريان الاستصحاب في القسم الثاني من القسم الثالث ما يكون من قبيل السواد الضعيف و الشديد</w:t>
      </w:r>
      <w:r>
        <w:rPr>
          <w:rStyle w:val="FootnoteAnchor"/>
          <w:rtl w:val="true"/>
        </w:rPr>
        <w:footnoteReference w:id="197"/>
      </w:r>
      <w:r>
        <w:rPr>
          <w:rFonts w:ascii="Amiri" w:hAnsi="Amiri" w:eastAsia="Amiri" w:cs="Amiri"/>
          <w:color w:val="111111"/>
          <w:sz w:val="28"/>
          <w:sz w:val="28"/>
          <w:szCs w:val="28"/>
          <w:rtl w:val="true"/>
          <w:lang w:bidi="ar-SA"/>
        </w:rPr>
        <w:t xml:space="preserve">من الاستثناء المُنقطع، كما أنَّ التفصيل بين القسمين المُتقدّمين الذي اختاره </w:t>
      </w:r>
      <w:r>
        <w:rPr>
          <w:rStyle w:val="FootnoteAnchor"/>
          <w:rtl w:val="true"/>
        </w:rPr>
        <w:footnoteReference w:id="198"/>
      </w:r>
      <w:r>
        <w:rPr>
          <w:rFonts w:ascii="Amiri" w:hAnsi="Amiri" w:eastAsia="Amiri" w:cs="Amiri"/>
          <w:color w:val="111111"/>
          <w:sz w:val="28"/>
          <w:sz w:val="28"/>
          <w:szCs w:val="28"/>
          <w:rtl w:val="true"/>
          <w:lang w:bidi="ar-SA"/>
        </w:rPr>
        <w:t>ممّا لا وجه له؛ لأنَّ مقارنة الفرد لفرد آخر و عدمها لا دخل لهما في بقاء الكلّي و عدمه،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جريان الاستصحاب فيه؛ لأنَّ العلم بوجود الفرد في الخارج إنَّما يُلازم العلم بوجود حصّة من الكلّي في ضمن الفرد الخاصّ، لا العلم بوجود الكلّي، و الحصّة الموجودة في ضمن الفرد الخاصّ تغاير الحصّة الاخرى في ضمن فرد آخر؛ و لذا قيل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الكلّي إلى الأفراد نسبة الآباء المُتعدّدين إلى الأبناء</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ناش من عدم تعقّل الكلّي الطبيعيّ و كيفيّة وجوده، و عدم الوصول إلى مغزى مُراد القوم من أنَّ نسبة الكلّي إلى الأفراد نسبة الآباء؛ ضرورة أنَّ الكلّي الطبيعيّ لدى المُحقّقين موجود بتمام ذاته مع كلّ فرد من الأفراد، فكلّ فرد في الخارج بتمام هويّته عين الكلّي، لا أنَّه حصّة منه، و لا تعقل الحصص للكلّي، فزيد إنسان، لا نصف إنسان، أو جزء إنسان، أو حصّة منه، فلا معنى للحصّة أصلًا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بمكان من الضعف يغني تصوّر الكلّي عن ردّه، و العجب أنَّ بعض أعاظم العصر ادّعى البداهة لما اختاره من الحصص للكلّي </w:t>
      </w:r>
      <w:r>
        <w:rPr>
          <w:rStyle w:val="FootnoteAnchor"/>
          <w:rtl w:val="true"/>
        </w:rPr>
        <w:footnoteReference w:id="201"/>
      </w:r>
      <w:r>
        <w:rPr>
          <w:rFonts w:ascii="Amiri" w:hAnsi="Amiri" w:eastAsia="Amiri" w:cs="Amiri"/>
          <w:color w:val="111111"/>
          <w:sz w:val="28"/>
          <w:sz w:val="28"/>
          <w:szCs w:val="28"/>
          <w:rtl w:val="true"/>
          <w:lang w:bidi="ar-SA"/>
        </w:rPr>
        <w:t>، مع كونه ضروريّ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المحقّق الخراسانيّ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تعدّد الطبيعيّ بتعدّد الفرد، و أنَّ الكلّي في ضمن فرد غيرُه في ضمن فرد آخر، و لذا اختار عدم الجريان مُطلقاً</w:t>
      </w:r>
      <w:r>
        <w:rPr>
          <w:rStyle w:val="FootnoteAnchor"/>
          <w:rtl w:val="true"/>
        </w:rPr>
        <w:footnoteReference w:id="202"/>
      </w:r>
      <w:r>
        <w:rPr>
          <w:rFonts w:ascii="Amiri" w:hAnsi="Amiri" w:eastAsia="Amiri" w:cs="Amiri"/>
          <w:color w:val="111111"/>
          <w:sz w:val="28"/>
          <w:sz w:val="28"/>
          <w:szCs w:val="28"/>
          <w:rtl w:val="true"/>
          <w:lang w:bidi="ar-SA"/>
        </w:rPr>
        <w:t xml:space="preserve">، فهو حقّ في باب الكلّي الطبيعيّ عقلًا كما حُقّق في محلّه </w:t>
      </w:r>
      <w:r>
        <w:rPr>
          <w:rStyle w:val="FootnoteAnchor"/>
          <w:rtl w:val="true"/>
        </w:rPr>
        <w:footnoteReference w:id="203"/>
      </w:r>
      <w:r>
        <w:rPr>
          <w:rFonts w:ascii="Amiri" w:hAnsi="Amiri" w:eastAsia="Amiri" w:cs="Amiri"/>
          <w:color w:val="111111"/>
          <w:sz w:val="28"/>
          <w:sz w:val="28"/>
          <w:szCs w:val="28"/>
          <w:rtl w:val="true"/>
          <w:lang w:bidi="ar-SA"/>
        </w:rPr>
        <w:t>، لكنّ جريانه لا يتوقّف على الوحدة العقليّة، بل الميزان وحدة القضيّة المُتيقّنة و المشكوك فيها عرفاً، و لا إشكال في اختلاف الكلّيات بالنسبة إلى أفرادها لدى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الأفراد قد تلاحظ بالنسبة إلى النوع الذي هي تحته، كزيد و عمرو بالنسبة إلى الإنسان، و قد تلاحظ بالنسبة إلى الجنس القريب، كزيد و حمار بالنسبة إلى الحيوان، و قد تلاحظ بالنسبة إلى الجنس المتوسّط أو البعيد، و قد تلاحظ بالنسبة إلى الكلّي العرضيّ، كأفراد الكيفيّات و الكمّيات التي هي مُشتركة في العروض على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الأفراد بالنسبة إلى الكلّيات مختلفة عرفاً، فإذا شكّ في بقاء نوع الإنسان إلى ألف سنة يكون الشكّ في البقاء عرفاً مع تبدّل الأفراد، لكنّ العرف يرى بقاء النوع مع تبدّل أفراده، و قد يكون الجنس بالنسبة إلى أفراد الأنواع كذلك، و قد لا يساعد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كأفراد الإنسان و الحمار بالنسبة إلى الحيوان؛ فإنَّ العرف لا يرى الإنسان من جنس الحيوان، و قد لا يساعد في أفراد الأجناس البعيدة، و قد يساعد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وحدة القضيّة المُتيقّنة و المشكوك فيها عرفاً، و لا ضابط لذلك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الضابط في حكم العرف بالبقاء في بعض الموارد و عدم الحكم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المصداق المعلوم أمراً معلوماً بالتفصيل أو بالإجمال، لكن بحيث يتوجّه ذهن العرف إلى الخصوصيّات الشخصيّة، و لو بنحو الإشارة، ففي مثله</w:t>
      </w:r>
    </w:p>
    <w:p>
      <w:pPr>
        <w:pStyle w:val="BookText"/>
        <w:rPr/>
      </w:pPr>
      <w:r>
        <w:rPr>
          <w:rFonts w:ascii="Amiri" w:hAnsi="Amiri" w:eastAsia="Amiri" w:cs="Amiri"/>
          <w:color w:val="111111"/>
          <w:sz w:val="28"/>
          <w:sz w:val="28"/>
          <w:szCs w:val="28"/>
          <w:rtl w:val="true"/>
          <w:lang w:bidi="ar-SA"/>
        </w:rPr>
        <w:t>لا يجري الاستصحاب؛ لعدم كون المُتيقّن الكلّي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المعلوم على نحو يتوجّه العُرف إلى القدر الجامع، و لا يتوجّه إلى الخُصوصيّات، كما إذا علم أنَّ في البيت حيوانات مُختلفة، و احتمل وجود مصاديق اخر من نوعها أو جنسها، ففي مثله يكون موضوع القضيّة هو الحيوان المُشترك، و بعد العلم بفقد المقدار المُتيقّن، و احتمال بقاء الحيوان بوجودات اخر يصدق البقاء، ففي مثل الحيوان المُردّد بين الطويل و القصير في القسم الثاني لعلّه كذلك؛ لأجل توجّه النفس بواسطة التردّد إلى نفس الطبيعة المُشتركة بزعمه، فيصدق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ظاهر كلام الشيخ الأعظم و صريح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الفرق بين القسم الثاني و الثالث أنَّ في الثالث لا يحتمل بقاء عين ما كان، دون الثاني؛ لاحتمال بقاء عين ما كان موجوداً</w:t>
      </w:r>
      <w:r>
        <w:rPr>
          <w:rStyle w:val="FootnoteAnchor"/>
          <w:rtl w:val="true"/>
        </w:rPr>
        <w:footnoteReference w:id="204"/>
      </w:r>
      <w:r>
        <w:rPr>
          <w:rFonts w:ascii="Amiri" w:hAnsi="Amiri" w:eastAsia="Amiri" w:cs="Amiri"/>
          <w:color w:val="111111"/>
          <w:sz w:val="28"/>
          <w:sz w:val="28"/>
          <w:szCs w:val="28"/>
          <w:rtl w:val="true"/>
          <w:lang w:bidi="ar-SA"/>
        </w:rPr>
        <w:t>، فخلط بين احتمال بقاء ما هو المُتيقّن بما أنَّه مُتيقّن الذي هو مُعتبر في الاستصحاب، و بين احتمال بقاء الحيوان المُحتمل الحدوث، ففي الآن الثاني و إن احتمل بقاء ما هو حادث، لكن هو احتمال بقاء ما هو محتمل الحدوث لا معلومه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اضيف الحدوث و البقاء إلى نفس الطبيعة بلا إضافة إلى الخصوصيّات يكون الشكّ في بقاء المُتيقّن في كلا المقامين، إلّا أن يتشبّث بحكم العرف بنحو ما ذكرنا آنفاً، و المسألة محتاجة إلى مزيد تأمّل؛ لعدم الخلوّ من الخدشة و الإشكال و النقض</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ما قلناه مراراً من أن كثرة الإنسان بكثرة الأفراد عرفيّة كما هي عقليّة</w:t>
      </w:r>
      <w:r>
        <w:rPr>
          <w:rStyle w:val="FootnoteAnchor"/>
          <w:rtl w:val="true"/>
        </w:rPr>
        <w:footnoteReference w:id="205"/>
      </w:r>
      <w:r>
        <w:rPr>
          <w:rFonts w:ascii="Amiri" w:hAnsi="Amiri" w:eastAsia="Amiri" w:cs="Amiri"/>
          <w:color w:val="111111"/>
          <w:sz w:val="28"/>
          <w:sz w:val="28"/>
          <w:szCs w:val="28"/>
          <w:rtl w:val="true"/>
          <w:lang w:bidi="ar-SA"/>
        </w:rPr>
        <w:t>، و بين ما قلناه من جريان الاستصحاب في القسم الثاني و في بعض موارد القسم الثالث، و عليك بالتأمّل التامّ في موارد الجريان و عدمه</w:t>
      </w:r>
      <w:r>
        <w:rPr>
          <w:rFonts w:eastAsia="Amiri" w:cs="Amiri" w:ascii="Amiri" w:hAnsi="Amiri"/>
          <w:color w:val="111111"/>
          <w:sz w:val="28"/>
          <w:szCs w:val="28"/>
          <w:rtl w:val="true"/>
          <w:lang w:bidi="ar-SA"/>
        </w:rPr>
        <w:t>.</w:t>
      </w:r>
      <w:bookmarkStart w:id="168" w:name="pg2245_12719"/>
    </w:p>
    <w:p>
      <w:pPr>
        <w:pStyle w:val="Heading4"/>
        <w:numPr>
          <w:ilvl w:val="3"/>
          <w:numId w:val="1"/>
        </w:numPr>
        <w:rPr/>
      </w:pPr>
      <w:bookmarkStart w:id="169" w:name="__RefHeading___Toc1614005_3804643083"/>
      <w:bookmarkStart w:id="170" w:name="_Toc63"/>
      <w:bookmarkEnd w:id="168"/>
      <w:bookmarkEnd w:id="169"/>
      <w:r>
        <w:rPr>
          <w:rtl w:val="true"/>
        </w:rPr>
        <w:t>تذييل حول أصالة عدم التذكية</w:t>
      </w:r>
      <w:bookmarkEnd w:id="170"/>
    </w:p>
    <w:p>
      <w:pPr>
        <w:pStyle w:val="Heading5"/>
        <w:numPr>
          <w:ilvl w:val="4"/>
          <w:numId w:val="1"/>
        </w:numPr>
        <w:rPr/>
      </w:pPr>
      <w:bookmarkStart w:id="171" w:name="__RefHeading___Toc1614007_3804643083"/>
      <w:bookmarkStart w:id="172" w:name="_Toc64"/>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 xml:space="preserve">إنّا و إن استقصينا البحث في مبحث البراءة في أصالة عدم التذكية التي تمسّك بها الأعلام في نجاسة الحيوان الذي شكّ في تذكيته و حرمة لحمه </w:t>
      </w:r>
      <w:r>
        <w:rPr>
          <w:rStyle w:val="FootnoteAnchor"/>
          <w:rtl w:val="true"/>
        </w:rPr>
        <w:footnoteReference w:id="206"/>
      </w:r>
      <w:r>
        <w:rPr>
          <w:rFonts w:ascii="Amiri" w:hAnsi="Amiri" w:eastAsia="Amiri" w:cs="Amiri"/>
          <w:color w:val="111111"/>
          <w:sz w:val="28"/>
          <w:sz w:val="28"/>
          <w:szCs w:val="28"/>
          <w:rtl w:val="true"/>
          <w:lang w:bidi="ar-SA"/>
        </w:rPr>
        <w:t xml:space="preserve">، لكن لمّا بقي بعض الفوائد المهمّة التي لا بدّ من تحقيقها، فلا محيص عن التعرّض لها تبعاً للشيخ قدّس سرّه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سابقاً أنَّ الشبهة إمّا حكميّة أو موضوعيّة، و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لأجل الشكّ في قابليّة الحيوان للتذكية لأجل الشبهة المفهوميّة، كما لو شكّ في صدق مفهوم الكلب على حيوان، أو لأمر آخر، كالشكّ في قابليّة المتولّد من الحيوانين، و إمّا أن تكون للشكّ في شرطيّة شي‌ءٍ للتذكية، أو مانعيّة شي‌ءٍ عنها، كالجلل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للشبهة الموضوعيّة أقسام، كالشكّ في كون حيوان كلباً أو غنماً لأجل الشبهة الخارجيّة، أو الشكّ في تحقق التذكية، أو كون لحم مأخوذاً ممّا هو معلوم التذكية، أو معلوم عدمها، إلى غير ذلك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التذكية بحسب التصوّر يمكن أن تكون أمراً بسيطاً متحصّلًا من الامور الخمسة أو منتزعاً منها، و يمكن أن تكون مُركّباً خارجيّاً؛ بمعنى كون نفس الامور الخمسة أو الستّة هي التذكية، و يمكن أن تكون مركّباً تقييديّاً أو غير ذلك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التذكية لأجل الشكّ في قابليّة الحيوان لها، فهل تجري أصالة عدم القابليّة و تحرز الموضوع أم لا؟</w:t>
      </w:r>
      <w:bookmarkStart w:id="173" w:name="pg2245_12720"/>
    </w:p>
    <w:p>
      <w:pPr>
        <w:pStyle w:val="BookText"/>
        <w:rPr/>
      </w:pPr>
      <w:bookmarkEnd w:id="173"/>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بجريانها؛ لأنَّ القابليّة من العوارض التي تعرض الحيوان في الوجود الخارجيّ، و ليست من عوارض الماهيّة أو لوازمها قبل تحقّقها، فيمكن أن يشار إلى الحيوان الموجود بأنَّ هذا الحيوان قبل وجوده لم يكن قابلًا للتذكية، و بعد تلبّسه بالوجود شكّ في صيرورته قابلًا لها، فيستصحب عدمها، و كذا الحال في المرأة التي يشكّ في قرشيّتها، و كذا سائر الأعدام الأزليّة ممّا يكون الحكم لموضوع مفروض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مُحصّل ما أفاده شيخنا العلّامة أعلى اللَّه مقامه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شيخنا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الإمام الفقيه رئيس الطائفة الشيخ عبد الكريم ابن المولى محمّد جعفر المهرجردي اليزدي الحائري، الزعيم الديني الكبير مؤسس الحوزة العلمية و الجامعة الإسلامية بمدينة قم المقدّسة، ولد في مهرجرد من قرى يزد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تلقّى علومه عن مشاهير علماء عصره كالإمام السيد محمّد حسن الشيرازي، و الميرزا محمّد تقي الشيرازي، و الشيخ محمّد كاظم الخراساني، و السيد محمّد الفشاركي، و الفقيه الشهيد الشيخ فضل اللَّه النوري و غيرهم، كما أخذ عنه جملة من أساطين المذهب و مراجع الدين و جهابذة الزمان، و في طليعتهم آية اللَّه العظمى الإمام السيد روح اللَّه الخميني، و آية اللَّه العظمى السيد محمّد رضا الگلپايگاني، و آية اللَّه العظمى السيد شهاب الدين النجفي المرعشي، و آية اللَّه العظمى الشيخ محمد علي الأراكي رحمة اللَّه عليهم، خلّف آثاراً علمية قيّمة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الفوائد، كتاب الصلاة، تقريرات استاذه الإمام الفشاركي، توفّي ليلة السبت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نقباء البشر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ريحانة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1614009_3804643083"/>
      <w:bookmarkStart w:id="175" w:name="_Toc65"/>
      <w:bookmarkEnd w:id="174"/>
      <w:r>
        <w:rPr>
          <w:rtl w:val="true"/>
        </w:rPr>
        <w:t>تحقيق القضايا السالبة</w:t>
      </w:r>
      <w:bookmarkEnd w:id="175"/>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الأصل المذكور، و توضيحه يحتاج إلى تحقيق القضايا السلبيّة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سالفاً</w:t>
      </w:r>
      <w:r>
        <w:rPr>
          <w:rStyle w:val="FootnoteAnchor"/>
          <w:rtl w:val="true"/>
        </w:rPr>
        <w:footnoteReference w:id="211"/>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من ثبوت النسبة في مطلق القضايا، ذاهباً إلى التفصيل بين الحملية المؤوّلة و غيرها، كما هو في المتن و في مناهج الوصول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و لاحظ تهذيب الاصول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أشار قدّس سرّه إلى هذا العدول في هامش أنوار الهداية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الفرق بين القضايا الموجبة و السالبة و المعدولة، من أنَ</w:t>
      </w:r>
    </w:p>
    <w:p>
      <w:pPr>
        <w:pStyle w:val="BookText"/>
        <w:rPr/>
      </w:pPr>
      <w:r>
        <w:rPr>
          <w:rFonts w:ascii="Amiri" w:hAnsi="Amiri" w:eastAsia="Amiri" w:cs="Amiri"/>
          <w:color w:val="111111"/>
          <w:sz w:val="28"/>
          <w:sz w:val="28"/>
          <w:szCs w:val="28"/>
          <w:rtl w:val="true"/>
          <w:lang w:bidi="ar-SA"/>
        </w:rPr>
        <w:t>القضيّة الموجبة المركبة تكون حاكية عن موضوع و محمول و نسبة منتزعة من حصول المحمول للموضوع، و لها نحو تحقّق و لو بتبع الطرفين، و كذا المعدولة المحمول حاكية عن موضوع محقّق، و محمول له نحو تحقّق، كالأعدام و الملكات، و لنسبته إلى الموضوع نحو تحقّق في خصوص المركّبات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القضيّة المعدولة القضية الموجبة السالبة المحمول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هو الذي ليس له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لوحظ فيها اتصاف الموضوع بالمحمول، الذي هو قضيّة سالبة تحصيليّة، و كذا السالبة المحصلة بسلب المحمول فقط، لا الأعمّ منه و من سلب الموضوع، و لا بسلب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القضايا الحمليّة المؤوّلة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الحمليّات الغير المؤوّلة الحاكيات عن الهوهويّة فلا نسبة فيها، و لا كوناً رابطاً، لا واقعاً و في نفس الأمر؛ لعدم إمكان النسبة و الربط بين الشي‌ء و ما هو هو، و لا في القضيّة المعقولة و الملفوظة؛ لكونهما حاكيتين عن الواقع، مُنطبقتين عليه طابق النعل بالنعل، كما حقّقنا ذلك في مباحث الألفاظ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القضيّة السالبة البسيطة المُحصّلة، سواءً كانت بنحو الهليّة البسيطة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ليس بموجود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المُركّبة السالبة بسلب الموضوع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العنقاء ليس بأبيض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لموضوعها و محمولها و نسبتها تحقّق أصلًا؛ أي لا تحكي القضيّة عن موضوع و محمول و نسبة، بل يدرك العقل بطلان الموضوع و لا شيئيّته بتبع صورة إدراكيّة موجودة في الذهن، فيحكم ببطلانه أو ببطلان اتصافه بشي‌ء بحسب الواقع، من غير أن يكون كشف عن واقع مُحقّق، و سيأتي بيان مناط الصدق و الكذب في القضايا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السلبيّة ليست نسبة برأسها مقابلة للنسبة الإيجابيّة، كما عليه</w:t>
      </w:r>
    </w:p>
    <w:p>
      <w:pPr>
        <w:pStyle w:val="BookText"/>
        <w:rPr/>
      </w:pPr>
      <w:r>
        <w:rPr>
          <w:rFonts w:ascii="IRNazanin" w:hAnsi="IRNazanin" w:eastAsia="IRNazanin"/>
          <w:color w:val="111111"/>
          <w:sz w:val="28"/>
          <w:sz w:val="28"/>
          <w:szCs w:val="28"/>
          <w:rtl w:val="true"/>
          <w:lang w:bidi="fa-IR"/>
        </w:rPr>
        <w:t>المُتأخّرون من أهل النظر</w:t>
      </w:r>
      <w:r>
        <w:rPr>
          <w:rStyle w:val="FootnoteAnchor"/>
          <w:rtl w:val="true"/>
        </w:rPr>
        <w:footnoteReference w:id="213"/>
      </w:r>
      <w:r>
        <w:rPr>
          <w:rFonts w:ascii="Amiri" w:hAnsi="Amiri" w:eastAsia="Amiri" w:cs="Amiri"/>
          <w:color w:val="111111"/>
          <w:sz w:val="28"/>
          <w:sz w:val="28"/>
          <w:szCs w:val="28"/>
          <w:rtl w:val="true"/>
          <w:lang w:bidi="ar-SA"/>
        </w:rPr>
        <w:t>لأنَّ حرف السلب آلة لسلب المحمول عن الموضوع، لا لنسبة إليه، فمفاد السوالب ليس إلّا سلب المحمول عن الموضوع، و حرف السلب ليس إلّا آلة لسلبه عنه، فإذا لوحظ الواقع يرى أنَّه ليس بين المحمول و الموضوع نسبة؛ أي لا يكون المحمول حاصلًا للموضوع، فلا نسبة بينهما، فإنَّها مُنتزعة من حصوله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القضيّة المعقولة أيضاً تتعقّل على نعت الخارج؛ أي يكون مفادها سلب الربط بينهما، لا ربط السلب، و لا ربط هو السلب، و كذا مفاد القضيّة الملفوظة، فالقضيّة السلبيّة لا تشتمل على النسبة رأساً، كما أنَّه في الواقع ليس بين الموضوع و المحمول ربط و نسبة، فالقضيّة السالبة مفادها سلب الربط، و إلّا فإن كان مفادها ربط السلب تصير معدولة، و إن كان مفادها الربط بينهما بالنسبة السلبيّة؛ أي يكون السلب هو الربط يخرج حرف السلب عمّا هو عليه من كونه آلة لسلب المحمول عن الموضوع، مع أنَّ لازم ذلك؛ أي الانتساب السلبيّ اتصاف الموضوع و المحمول بالسلب، فيكون مفاد القضيّة معنونيّة الموضوع بسلب المحمول عنه، و معنونيّة المحمول بسلبه عنه، فتصير القضيّة السالبة مُشتملة على نسبة إيجابيّة، مع أنَّه خلاف الضرورة و خلاف الواقع الذي تكون القضيّة كاشفة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القضيّة موجبة كانت أو سالبة لا بدّ و أن تكون حاكية عن نفس الأمر، كاشفة عن الواقع، فإذا لم يكن في الواقع و نفس الأمر ربط و نسبة بين الموضوع و المحمول فلا بدّ و أن تكون القضيّة حاكية عن سلب الربط و النسبة، و لا معنى لاشتمالها على ربط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السلبيّة نسبة أيضاً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ما ذكرت عدم ورود الإيجاب و السلب على شي‌ء واحد؛ لأنَّ لازمه ورود السلب على النسبة الإيجابيّة، فمفاد القضيّة الموجبة إثبات المحمول للموضوع،</w:t>
      </w:r>
    </w:p>
    <w:p>
      <w:pPr>
        <w:pStyle w:val="BookText"/>
        <w:rPr/>
      </w:pPr>
      <w:r>
        <w:rPr>
          <w:rFonts w:ascii="Amiri" w:hAnsi="Amiri" w:eastAsia="Amiri" w:cs="Amiri"/>
          <w:color w:val="111111"/>
          <w:sz w:val="28"/>
          <w:sz w:val="28"/>
          <w:szCs w:val="28"/>
          <w:rtl w:val="true"/>
          <w:lang w:bidi="ar-SA"/>
        </w:rPr>
        <w:t>و مفاد القضيّة السالبة قطع هذه النسبة، فالإثبات يرد على المحمول، و السلب على النسبة، و هو كما ترى</w:t>
      </w:r>
    </w:p>
    <w:p>
      <w:pPr>
        <w:pStyle w:val="BookText"/>
        <w:rPr/>
      </w:pPr>
      <w:r>
        <w:rPr>
          <w:rFonts w:ascii="Amiri" w:hAnsi="Amiri" w:eastAsia="Amiri" w:cs="Amiri"/>
          <w:color w:val="111111"/>
          <w:sz w:val="28"/>
          <w:sz w:val="28"/>
          <w:szCs w:val="28"/>
          <w:rtl w:val="true"/>
          <w:lang w:bidi="ar-SA"/>
        </w:rPr>
        <w:t>و أيضاً لازم ذلك خلوّ القضيّة عن النسبة، مع أنّها متقوّمة بها، و لا تكون القضيّة قابلة للصدق و الكذب إلّا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عدم ورود الإيجاب و السلب على شي‌ءٍ واحد، و ورود السلب على النسبة الإيجابيّة، فممنوع جدّاً؛ لما عرفت من أنَّ مفاد القضيّة الموجبة المؤوّلة إثبات المحمول للموضوع أوّلًا و بالذات، و لازمه الإخبار بتحقّق النسبة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المحمول للموضوع ملحوظ باللّحاظ الاسميّ، و تحقّق النسبة بينهما ملحوظ باللّحاظ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القضيّة السالبة يكون سلب المحمول عن الموضوع أوّلًا و بالذات، و لازمه قطع الربط، و الإخبار عن سلب النسبة بينهما، لا إثبات النسبة التي هي العدم، و لا نسبة الشي‌ء العدميّ؛ فإنَّهما خلاف الضرورة و الوجدان، مع أنَّ العدم ليس بشي‌ءٍ حتّى يقع به الربط بين الشيئين و يخبر المُتكلّم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لحاظ العدم بتبع الوجود و الإخبار عنه، لكن ليس مفاد القضيّة السالبة كون العدم ربطاً، أو الموضوع متّصفاً به، و هو عنوان 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وقوع السلب على الربط أنَّ مفاد القضيّة أوّلًا و بالذات هو سلب النسبة، حتّى تكون النسبة ملحوظة بالمعنى الاسميّ، بل المراد منه أنَّ حرف السلب يسلب المحمول عن الموضوع، و لازمه سلب الانتساب و قطع الربط، كلّ ذلك بحسب مقام الإخبار و الإثبات، فلا يلزم أن يكون الربط مورداً للسلب حتّى يكون الاعتبار في القضيّة السالبة مُخالفاً للقضيّة الموجبة، بل مفاد القضيّة السالبة نفي المحمول عن الموضوع، كما أنَّ مفاد القضيّة الموجبة ثبوته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في القضيّة السالبة لحاظ ثبوت المحمول للموضوع، ثمّ سلبه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لحاظ المحمول و الموضوع في سلبه عنه، كما في إثباته 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لزوم خلوّ القضيّة عن النسبة، فليس بتال فاسد، فإنَّ القضيّة على التحقيق لا تتقوّم بالنسبة، و ما يقال في مقام الفرق بين الإخبار و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الإخبار ما يكون لنسبته خارج تطابقه أو لا تطابقه </w:t>
      </w:r>
      <w:r>
        <w:rPr>
          <w:rStyle w:val="FootnoteAnchor"/>
          <w:rtl w:val="true"/>
        </w:rPr>
        <w:footnoteReference w:id="214"/>
      </w:r>
      <w:r>
        <w:rPr>
          <w:rFonts w:ascii="Amiri" w:hAnsi="Amiri" w:eastAsia="Amiri" w:cs="Amiri"/>
          <w:color w:val="111111"/>
          <w:sz w:val="28"/>
          <w:sz w:val="28"/>
          <w:szCs w:val="28"/>
          <w:rtl w:val="true"/>
          <w:lang w:bidi="ar-SA"/>
        </w:rPr>
        <w:t>فكلام مسامحيّ معلوم البطلان، حتّى في كثير من القضايا الموجبة فضلًا عن السوالب كالهليّات البسيطة؛ فإنَّه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للنسبة خارج؛ للزوم تحقّق الماهيّة في قبال الوجود، و لزوم توسّط النسبة بين الشي‌ء و نفسه، و كذا في الحمليّات الغير المؤوّلة التي يكون مفادها الهوهويّة، و في القضايا السالبة مُطلقاً لا تكون نسبة، و لا للنسبة خارج بالضرورة؛ لما عرفت من أنَّ مفادها قطع النسبة و سلب الربط، فما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القضيّة متقوّمة بالنسبة</w:t>
      </w:r>
      <w:r>
        <w:rPr>
          <w:rStyle w:val="FootnoteAnchor"/>
          <w:rtl w:val="true"/>
        </w:rPr>
        <w:footnoteReference w:id="215"/>
      </w:r>
      <w:r>
        <w:rPr>
          <w:rFonts w:ascii="Amiri" w:hAnsi="Amiri" w:eastAsia="Amiri" w:cs="Amiri"/>
          <w:color w:val="111111"/>
          <w:sz w:val="28"/>
          <w:sz w:val="28"/>
          <w:szCs w:val="28"/>
          <w:rtl w:val="true"/>
          <w:lang w:bidi="ar-SA"/>
        </w:rPr>
        <w:t xml:space="preserve">، ممّا لا أصل له، و إن وقع في كلام أهل التحقيق و النظر لا بدّ و أن يحمل على قسم من الهليّات المُركّبة الموجبة، فالقضيّة قول مفاده إمّا الهوهويّة، أو ثبوت شي‌ءٍ لشي‌ءٍ، أو سلبه عنه، و ذلك في بعض الهليّات المُركّبة، أو ثبوت الشي‌ء و سلبه، و هو في البسائط، و مناط قابليّتها للصدق و الكذب هو هذا الإثبات و السلب، فنفس تصوّر الموضوع أو المحمول أو النسبة أو سلبها لا يوجب صيرورة القضيّة قضيّة، و أمّا التصديق بأنَّ هذا هذا أو ليس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لتحقّق القضيّة المعقولة، و اللّفظ الحاكي عنه الدالّ عليه هو القضيّة اللفظيّة، و قد عرفت كيفيّة حكايتها عن الواقع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176" w:name="pg2245_12725"/>
    </w:p>
    <w:p>
      <w:pPr>
        <w:pStyle w:val="Heading5"/>
        <w:numPr>
          <w:ilvl w:val="4"/>
          <w:numId w:val="1"/>
        </w:numPr>
        <w:rPr/>
      </w:pPr>
      <w:bookmarkStart w:id="177" w:name="__RefHeading___Toc1614011_3804643083"/>
      <w:bookmarkStart w:id="178" w:name="_Toc66"/>
      <w:bookmarkEnd w:id="176"/>
      <w:bookmarkEnd w:id="177"/>
      <w:r>
        <w:rPr>
          <w:rtl w:val="true"/>
        </w:rPr>
        <w:t>بيان مناط الصدق و الكذب في القضايا</w:t>
      </w:r>
      <w:bookmarkEnd w:id="178"/>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المناط في صدق القضايا و كذبها إذا لم تكن للسالبة نسبة و واقعيّة؟</w:t>
      </w:r>
    </w:p>
    <w:p>
      <w:pPr>
        <w:pStyle w:val="BookText"/>
        <w:rPr/>
      </w:pPr>
      <w:r>
        <w:rPr>
          <w:rFonts w:ascii="Amiri" w:hAnsi="Amiri" w:eastAsia="Amiri" w:cs="Amiri"/>
          <w:color w:val="111111"/>
          <w:sz w:val="28"/>
          <w:sz w:val="28"/>
          <w:szCs w:val="28"/>
          <w:rtl w:val="true"/>
          <w:lang w:bidi="ar-SA"/>
        </w:rPr>
        <w:t>و هل الصدق إلّا المطابقة للواقع، و الكذب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الصدق هو المطابقة للواقع و الكذب عدمها، لكن لا يلزم منه أن تكون للكواذب واقعيّة، و للأعلام حقائق، و لا لقطع النسبة الواقعيّة حكاية عن واقع محقّق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الواقع عبارة عن نظام الوجود ذهناً و خارجاً؛ بحيث لا تشذّ عنه حقيقة من الحقائق و موجود من الموجودات، فإذا أخبر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مطابقاً لصفحة الكون و نظام الوجود فهو صدق، و إلّا فلا، و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شريك البارئ ليس بموجود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مطابقاً للواقع؛ لأنَّ صفحة الكون خالية عنه، و الإخبار مطابق له، و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مخالفاً للواقع؛ لأنَّ صفحة الكون و صحيفة الوجود خاليتان عنه، و قد أخبر بوجوده، فلا بدّ لتشخيص الصدق و الكذب من مقايسة الخبر لصفحة الوجود و نظام الكون، من مبدأ الوجود إلى منتهاه، ذهناً و خارجاً، فكلّ إخبار يكون مطابقاً لصفحة الكون و صحيفة الوجود؛ بأن يكون الإخبار عن تحقّق شي‌ء موجود فيها، أو عدم شي‌ء معدوم فيها يكون صدقاً مطابقاً للواقع، و إلّا فلا، حتّى أنَّ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الحاكي عن ذاتيّات الماهيّة يكون مناط صدقه مطابقته لنظام الوجود ذهناً أو خارجاً، فإنَّ الإنسان في تقرّره الذهنيّ و تحقّقه الخارجيّ حيوان ناطق، و ما ليس بموجود مُطلقاً ليس بشي‌ءٍ حتّى يثبت له لازم أو جزء، و لا يمكن أن يخبر عنه مُطلقاً، و ما اخبر عنه يكون له نحو تحقّق و لو ذهناً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مناط الصدق في القضايا السالبة مطابقتها للواقع؛</w:t>
      </w:r>
    </w:p>
    <w:p>
      <w:pPr>
        <w:pStyle w:val="BookText"/>
        <w:rPr/>
      </w:pPr>
      <w:r>
        <w:rPr>
          <w:rFonts w:ascii="Amiri" w:hAnsi="Amiri" w:eastAsia="Amiri" w:cs="Amiri"/>
          <w:color w:val="111111"/>
          <w:sz w:val="28"/>
          <w:sz w:val="28"/>
          <w:szCs w:val="28"/>
          <w:rtl w:val="true"/>
          <w:lang w:bidi="ar-SA"/>
        </w:rPr>
        <w:t>بمعنى أن يكون في الواقع شي‌ء مطابق لها، بل المناط هو ما ذكرنا، و قد تكون القضيّة الموجبة في حكم القضيّة السالبة لخصوصيّة في محمولها،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البارئ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ترجع إلى السوالب، و يكون حكمُها حكمَها، فقولنا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البارئ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البارئ ليس بموجود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لك عدم جريان استصحاب عدم قابليّة الحيوان فيما إذا شكّ في قابليّته للتذكية، و استصحاب عدم القرشيّة فيما إذا شكّ فيها؛ فإنَّ الموضوع لعدم ورود التذكية على الحيوان هو الحيوان الغير القابل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الإيجاب العدوليّ، أو الحيوان المسلوب عنه القابليّة بنحو السالبة المحصّلة مع فرض وجود الموضوع، و كون السلب بسلب المحمول أو الموجبة السالبة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السلب التحصيليّ الأعمّ من السلب بسلب الموضوع، فليس موضوعاً للحكم؛ فإنَّ عدم كون الحيوان قابلًا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في حال معدوميّته، لكنّه ليس موضوعاً لحكم بالضرورة، فموضوع الحكم لا يخلو من أحد الاعتبارات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المرأة التي شكّ في قرشيّتها؛ فإنَّ من ليست بقرشيّة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السلب التحصيليّ الأعمّ من سلب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موضوعة للحكم بالحيضيّة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الحيوان قبل تحقّقه لا يمكن أن يتّصف بشي‌ء، سواء كان معنى عدميّاً أو وجوديّاً؛ لما عرفت </w:t>
      </w:r>
      <w:r>
        <w:rPr>
          <w:rStyle w:val="FootnoteAnchor"/>
          <w:rtl w:val="true"/>
        </w:rPr>
        <w:footnoteReference w:id="217"/>
      </w:r>
      <w:r>
        <w:rPr>
          <w:rFonts w:ascii="Amiri" w:hAnsi="Amiri" w:eastAsia="Amiri" w:cs="Amiri"/>
          <w:color w:val="111111"/>
          <w:sz w:val="28"/>
          <w:sz w:val="28"/>
          <w:szCs w:val="28"/>
          <w:rtl w:val="true"/>
          <w:lang w:bidi="ar-SA"/>
        </w:rPr>
        <w:t>من أنَّ القضيّة السالبة لا تكشف عن حيثيّة واقعيّة، و هي سلب محض لا اتصاف بالسلب، و لا يمكن أن يكون السلب نعتاً للمعدوم؛ لأنَّ المعدوم لا شيئيّة له حتّى يتّصف بشي‌ء، فأصالة عدم القرشيّة و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كأصالة عدم كون المرأة الموجودة قرشيّة، و الحيوان الموجود قابلًا للتذكية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أصل لها؛ لأنَّ الشي‌ء قبل وجوده لا يتّصف بشي‌ءٍ وجوديّ أو عدميّ، و لا يسلب منه بنحو السالبة المُحقّقة</w:t>
      </w:r>
    </w:p>
    <w:p>
      <w:pPr>
        <w:pStyle w:val="BookText"/>
        <w:rPr/>
      </w:pPr>
      <w:r>
        <w:rPr>
          <w:rFonts w:ascii="Amiri" w:hAnsi="Amiri" w:eastAsia="Amiri" w:cs="Amiri"/>
          <w:color w:val="111111"/>
          <w:sz w:val="28"/>
          <w:sz w:val="28"/>
          <w:szCs w:val="28"/>
          <w:rtl w:val="true"/>
          <w:lang w:bidi="ar-SA"/>
        </w:rPr>
        <w:t xml:space="preserve">الموضوع شي‌ء، بل هذا الحيوان و هذه المرأة قبل وجودهما ليسا بشي‌ء و ليس ذاتهما ذاتَهما إلّا في عالم التخيّل و وعاء الوهم، فالقضيّة المُتيقّنة و المشكوك فيها ليست بواحدة، و مع فرض وحدتهما لا يكون الموضوع عدم الحيوان قابلًا بالسلب التحصيليّ الأعمّ من سلب الموضوع كما عرفت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أصالة عدم الحيوان قابلًا بالسلب التحصيليّ الأعم لا تثبت كون هذا الحيوان غير قابل، و لا هو الذي لا يكون قابلًا بنحو الاتصاف بالسلب، و هذا واضح، بل و لا هذا الحيوان ليس بقابل بنحو السلب التحصيليّ مع فرض وجود الموضوع؛ لأنَّ السلب التحصيليّ أعمّ، و الموضوع للحكم أخصّ منه، و الأعمّ في حال الوجود و إن كان منحصراً مصداقه بالأخصّ، لكنّ إثبات الأخصّ من استصحاب الأعمّ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الموضوع مُركّباً من وجود الحيوان و عدم قابليّته بنحو العدم المحموليّ لا الرابط، فيكون من الموضوعات المُركّبة المحرزة بالوجدان و الأصل،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الحيوان موجود بالوجدان، و عدم قابليّته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العدم المحموليّ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محرزة بالاستصحاب</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مُجرَّد فرض لا واقعيّة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العدم بهذا المعنى لا يعقل أن يكون جزءاً للموضوع؛ فإنَّه بطلان صرف و لا شيئيّة محضة، و لا يمكن تعقّله إلّا بالحمل الأوّلي، و ما كان حاله كذلك لا يمكن أن يجعل موضوعاً أو يؤخذ فيه، فموضوع رؤية الدم إلى خمسين سنة لا يمكن أن يكون المرأة الموجودة مع عدم محض يعبّر عنه بعدم القرشيّة عدماً محمولياً، فلا بدّ و أن يكون السالبة المحصّلة المحقّقة الموضوع، لا نفس السلب بما أنَّه سلب، و لا الأعمّ من سلب الموضوع؛ لأنَّه يؤدّي إلى اعتبار المُتناقضين في موضوع الحكم، فإنَّ اعتبار وجود المرأة و عدم قرشيّتها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سلب الموضوع</w:t>
      </w:r>
      <w:r>
        <w:rPr>
          <w:rFonts w:eastAsia="Amiri" w:cs="Amiri" w:ascii="Amiri" w:hAnsi="Amiri"/>
          <w:color w:val="111111"/>
          <w:sz w:val="28"/>
          <w:szCs w:val="28"/>
          <w:rtl w:val="true"/>
          <w:lang w:bidi="ar-SA"/>
        </w:rPr>
        <w:t>-</w:t>
      </w:r>
      <w:bookmarkStart w:id="179" w:name="pg2245_12728"/>
    </w:p>
    <w:p>
      <w:pPr>
        <w:pStyle w:val="BookText"/>
        <w:rPr/>
      </w:pPr>
      <w:bookmarkEnd w:id="179"/>
      <w:r>
        <w:rPr>
          <w:rFonts w:ascii="Amiri" w:hAnsi="Amiri" w:eastAsia="Amiri" w:cs="Amiri"/>
          <w:color w:val="111111"/>
          <w:sz w:val="28"/>
          <w:sz w:val="28"/>
          <w:szCs w:val="28"/>
          <w:rtl w:val="true"/>
          <w:lang w:bidi="ar-SA"/>
        </w:rPr>
        <w:t>اعتبار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من عدم جريان أصالة عدم القابليّة إنّما يصحّ فيما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القابليّة كالقرشيّة من الحيثيّات الواقعيّة التكوينيّة، و أمّا إذا قلنا بأنّها من الأحكام الوضعيّة الجعليّة، فيمكن إجراء أصالة عدم جعل القابليّة للحيوان، فإذا شكّ في قابليّة الذئب للتذكية تجري أصالة عدم جعل الشارع القابليّة لهذا العنوان بنحو القضيّة الحقيقيّة، فيحرز عدم قابليّته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أصل عدم القابليّة على فرض جريانه يُغني عن أصل عدم التذكية، و يكون حاكماً عليه و إن قلنا بأنَّ التذكية أمر بسيط محصَّل من الامور الستّة؛ لأنَّه على هذا الفرض تكون محصّلية الامور الستّة و مسبّبيتها لها شرعيّة، فيكون الترتّب شرعيّاً، و لا إشكال في أنَّ الآثار الشرعيّة تترتّب على المحصَّلات بالتعبّد بوجود محصِّلاتها، و يحكم بعدم الترتّب مع التعبّد بعدم المُحصّلات من غير شائبة المُثبتيّة فتأمّل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حال أصالة عدم القابليّة، و مع عدم جريانها لا بدّ من التمسّك في حرمة لحم الحيوان و نجاسته بأصالة عدم التذكية</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1614013_3804643083"/>
      <w:bookmarkStart w:id="181" w:name="_Toc67"/>
      <w:bookmarkEnd w:id="180"/>
      <w:r>
        <w:rPr>
          <w:rtl w:val="true"/>
        </w:rPr>
        <w:t>حال أصالة عدم التذكية</w:t>
      </w:r>
      <w:bookmarkEnd w:id="18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الاعتبارات في عدم القابليّة تأتي في عدم التذكية مع شي‌ء زائد، فإنَّ عنوان المذكّى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في موضوع الحلّية و الطهارة، أو الطهارة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أمر وجوديّ، هو إزهاق الروح بكيفيّة خاصّة؛ أي فري الأوداج الأربعة، متوجّهاً إلى القبلة، ذاكراً عليه اسم اللَّه، مع كون الذابح مُسلماً، و آلة الذبح حديداً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مقابل هذا العنوان الذي هو موضوع الحرمة و النجاسة يمكن أن يكون عنواناً وجودياً؛ هو زهوق الروح بكيفيّة أخرى غير الكيفيّة المأخوذة في التذكية، أيّة كيفيّة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عنواناً إيجابيّاً بنحو الإيجاب العدوليّ، أو الموجبة السالبة المحمول، أو سلبياً بنحو السالبة المُحصّلة الأعمّ من سلب الموضوع، أو السالبة بسلب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مُركّباً من زهوق الروح، و عدم تحقّق الكيفيّة الخاصّة بنحو العدم المحموليّ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التصوّر، لكن بعض الفروض باطلة، ككون الموضوع عدم التذكية، أو عدم الزهوق بنحو السالبة المُحصّلة و لو بسلب الموضوع؛ ضرورة أنَّ هذا الأمر السلبيّ لا يمكن أن يكون موضوعاً للحكم و لو في حال وجود الحيوان، فالموضوع للحرمة و النجاسة هو الحيوان المُتحقّق الذي زهقت روحه بلا كيفيّة خاصّة، لا سلب زهوق الروح بكيفيّة خاصّة و لو بسلب تحقّق الحيوان، أو السلب الصادق على الحيوان في حال حياته، فالمُذكّى و مقابله هو الحيوان الذي زهقت روحه إمّا بكيفيّة خاصّة، فيكون موضوعاً للحكم بالطهارة و الحلّية، أو بغيرها فيحكم بالنجاسة و عدم الحلّية، فعدم تذكية الحيوان أو عدم كون الحيوان 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العنوان السلبيّ بما أنَّه عنوان 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موضوعاً لحكم، لا الحرمة و النجاسة، و لا عدم الحلّية و عدم الطهارة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 الحلّية و الطهارة بنحو اللّيس الأزليّ و القضيّة السالبة الموضوع، و معلوم أنَّ هذا ليس بحكم، بل عدم حكم و تشريع، و قد عرفت حال العدم المحموليّ بنحو جزء الموضوع في احتمالات أصالة عدم القابليّة، فلا محيص إلّا أن يكون الموضوع للحرمة و النجاسة هو الحيوان الذي زهقت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يعتبر عدم الكيفيّة الخاصّة بنحو الإيجاب العدوليّ؛ أي زهوق بغير الكيفيّة الخاصّة، أو بنحو الموجبة السالبة المحمول؛ أي زهوق مُتّصف بأنَّه لم يكن بالكيفيّة الخاصّة، أو السالبة المُحصّلة بسلب المحمول مع فرض وجود الموضوع، و هذه الاحتمالات مع كونها معقولة مُعتبرة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 الأخير تعرّضنا له في العامّ و الخاصّ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تنزيل الآيات و الأخبار على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التذكية غير جارية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الموضوع زُهوق الروح بكيفيّة وجوديّة اخرى أو بنحو الإيجاب العدوليّ، أو الموجبة السالبة المحمول فواضح؛ ضرورة أنَّ أصالة عدم زهوق الروح بالكيفيّة الخاصّة لا تثبت العنوان الثبوتيّ، و لا الاتصاف بأمر سلبيّ، أو بسلب المحمول عنه؛ فإنَّ كلّ ذلك عناوين يكون إثباتها للموضوع من اللّوازم العقليّة لأصالة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عدم التذكية زُهوق الروح مسلوباً عنه الكيفيّة الخاصة بنحو السالبة المحصّلة بسلب المحمول؛ فلأنَّ نفس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الزهوق مع سلب الكيفيّة الخاصّة بسلب المحمول، مع فرض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حالة سابقة، و عدم الزهوق بكيفيّة خاصّة بنحو السلب التحصيليّ الأعمّ من سلب الموضوع، أو عنوان السلب المحموليّ ليس موضوعاً للحكم، بل الموضوع هو الزّهوق المفروض الوجود بلا كيفيّة خاصّة، و استصحاب عدم الزهوق بالكيفيّة الخاصّة لا يثبت أنَّ الزّهوق المُتحقّق ليس بالكيفيّة الخاصّة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الحيوان في حال حياته ليس مذكّى، و كذا ما يقابله؛ أي الموضوع الذي تعلّقت به النجاسة و الحُرمة، و إن صدق عليه أنَّه ليس بمذكّى و لو بسلب</w:t>
      </w:r>
      <w:bookmarkStart w:id="182" w:name="pg2245_12731"/>
    </w:p>
    <w:p>
      <w:pPr>
        <w:pStyle w:val="BookText"/>
        <w:rPr/>
      </w:pPr>
      <w:bookmarkEnd w:id="182"/>
      <w:r>
        <w:rPr>
          <w:rFonts w:ascii="Amiri" w:hAnsi="Amiri" w:eastAsia="Amiri" w:cs="Amiri"/>
          <w:color w:val="111111"/>
          <w:sz w:val="28"/>
          <w:sz w:val="28"/>
          <w:szCs w:val="28"/>
          <w:rtl w:val="true"/>
          <w:lang w:bidi="ar-SA"/>
        </w:rPr>
        <w:t>الموضوع الذي هو زُهوق الروح، و لكنّ هذا الأمر السلبيّ ليس موضوعاً للحكم، لا في حال حياته، و لا بعد زهوق روحه، بل الموضوع هو زُهوق روحه بلا كيفيّة خاصّة بنحو سلب المحمول، و عدم زهوق الروح بالكيفيّة الخاصّة و إن كان صادقاً عليه حال الحياة و بعد الموت، لكن لا يثبت به زُهوق الروح بلا كيفيّة خاصّة بنحو السلب عن الموضوع المفروض الوجود إلّا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النظر في كلمات كثير من الأعاظم، منهم الشيخ الأعظم قدس سره؛ حيث يظهر منه التفصيل بين ما إذا رتّبت الأحكام على مجرّد عدم التذكية بنحو السالبة المُحصَّلة، و بين كونها بنحو الموجبة السالبة المحمول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الخراسانيّ رحمه اللَّه؛ حيث يظهر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كون المذكّى و مقابله من قبيل الضدّين، أو من قبيل العدم و الملكة، فذهب إلى أنَّ أصالة عدم التذكية جارية حينئذٍ، و موجبة للحكم بأنَّ الحيوان غير مذكّى، فيكون من قبيل الموضوعات المُركّبة أو المُقيّدة المشكوك في جزئها أو قيدها، فيحرز بالأصل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1614015_3804643083"/>
      <w:bookmarkStart w:id="184" w:name="_Toc68"/>
      <w:bookmarkEnd w:id="183"/>
      <w:r>
        <w:rPr>
          <w:rtl w:val="true"/>
        </w:rPr>
        <w:t>كلام المولى الهمدانيّ و جوابه</w:t>
      </w:r>
      <w:bookmarkEnd w:id="18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فصّل بين الآثار التي رتّبت على عدم كون اللحم مذكّى، كعدم الحلّية، و عدم جواز الصلاة فيه، و عدم طهارته من الأحكام العدميّة المُنتزعة من الوجوديّات، التي تكون التذكية شرطاً في ثبوتها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تعلّق التذكية بهذا اللّحم الذي زهقت روحه، فلا يحلّ أكله، و لا الصلاة فيه، و لا استعماله فيما يشترط بالطهارة، و بين الآثار المُترتّبة على كونه غير</w:t>
      </w:r>
    </w:p>
    <w:p>
      <w:pPr>
        <w:pStyle w:val="BookText"/>
        <w:rPr/>
      </w:pPr>
      <w:r>
        <w:rPr>
          <w:rFonts w:ascii="Amiri" w:hAnsi="Amiri" w:eastAsia="Amiri" w:cs="Amiri"/>
          <w:color w:val="111111"/>
          <w:sz w:val="28"/>
          <w:sz w:val="28"/>
          <w:szCs w:val="28"/>
          <w:rtl w:val="true"/>
          <w:lang w:bidi="ar-SA"/>
        </w:rPr>
        <w:t xml:space="preserve">مُذكى؛ كالأحكام الوجوديّة المُلازمة لهذه العدميّات؛ كحرمة أكله و نجاسته و تنجيس ملاقيه و غيرها من الأحكام المُعلّقة على عنوان الميتة أو غير المُذكّى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خلال كلامه في تقريب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يظهر من الشيخ أيضاً هو أنَّ الحلّية و سائر الأحكام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تكون مُترتّبة على سبب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مُنتفية بانتفاء سببها، فالموت المقرون بالشرائط أمر مُركّب سبب للأحكام، و هو أمر حادث مسبوق بالعدم، فأصالة عدمه ممّا يترتّب عليها عدم الحلّية و الطهارة، فعدم حلّية اللحم من الذي زهقت روحه من آثار عدم حدوث ما يؤثر في حلّيته بعد الموت، لا من آثار كون الموت فاقداً للشرائط، حتّى لا يمكن إحرازه بالأصل </w:t>
      </w:r>
      <w:r>
        <w:rPr>
          <w:rStyle w:val="FootnoteAnchor"/>
          <w:rtl w:val="true"/>
        </w:rPr>
        <w:footnoteReference w:id="224"/>
      </w:r>
      <w:r>
        <w:rPr>
          <w:rFonts w:ascii="Amiri" w:hAnsi="Amiri" w:eastAsia="Amiri" w:cs="Amiri"/>
          <w:color w:val="111111"/>
          <w:sz w:val="28"/>
          <w:sz w:val="28"/>
          <w:szCs w:val="28"/>
          <w:rtl w:val="true"/>
          <w:lang w:bidi="ar-SA"/>
        </w:rPr>
        <w:t>، انتهى بتوضيح و تلخيص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مُغالطة خفيّة؛ لأنَّ سلب الموت المقرون بالشرائط، الأعمّ من سلب الحيوان و سلب الموت و سلب الاقتران بالشرائط، لازمه سلب حلّية اللّحم و طهارته، الأعمّ من سلب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حال عدم الحيوان، بل في حال حياته؛ لأنَّ اللّحم غير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سلب الحلّية و الطهارة عنه، و هذا سلب بنحو السلب المحموليّ، و لازمه العقليّ سلب الرابط في حال تحقّق اللّحم؛ أي بعد زهوق روح الحيوان، فأصالة عدم سبب حلّية اللّحم لا تثبت أنَّ اللّحم ليس بحلال إلّا بالأصل المُثبت؛ لأنَّ لازم أصالة عدم سبب الحلّية؛ أي عدم الموت المقرون بالشرائط انتفاء حلّية لحم الحيوان، الأعمّ من انتفاء الحيوان و اللّحم، و إذا استمرّ هذا العدم الأزليّ إلى زمان وجود اللّحم يكون لازمه صدق السالبة المُحصّلة بسلب المحمول، و هو لازم عقليّ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إمكان منع كون الطهارة و الحلّية و جواز الصلاة في شي‌ء من الأحكام المجعولة المُسبّبة عن زهوق الروح بالكيفيّة الخاصّة، بل المجعول المُحتاج إلى السبب هو النجاسة و الحرمة و مانعيّة الميتة من الصلاة في أجزائها، على إشكال في حلّية</w:t>
      </w:r>
    </w:p>
    <w:p>
      <w:pPr>
        <w:pStyle w:val="BookText"/>
        <w:rPr/>
      </w:pP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الحيوان القابل للتذكية حين حياته يكون طاهراً بلا إشكال، و تجوز الصلاة معه لو فرض حمله بل لبسه، و لا دليل على عدم حلّية أكله من جهة كونه غير مُذكّى، بل الحرمة لو كانت فهي من جهة كونه ممّا لا يؤكل و من الخبائث، مع أنَّ الموت المقرون بالشرائط مسلوب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قد يقوى في النظر أنَّ التذكية ليست سبباً للطهارة و حلّية الأكل و جواز الصلاة فيه، بل إنّما هي دافعة لما هو سبب للنجاسة و الحرمة و عدم جواز الصلاة فيه، كما تشهد له الأدلّة المُتفرّقة في أبواب النجاسات </w:t>
      </w:r>
      <w:r>
        <w:rPr>
          <w:rStyle w:val="FootnoteAnchor"/>
          <w:rtl w:val="true"/>
        </w:rPr>
        <w:footnoteReference w:id="225"/>
      </w:r>
      <w:r>
        <w:rPr>
          <w:rFonts w:ascii="Amiri" w:hAnsi="Amiri" w:eastAsia="Amiri" w:cs="Amiri"/>
          <w:color w:val="111111"/>
          <w:sz w:val="28"/>
          <w:sz w:val="28"/>
          <w:szCs w:val="28"/>
          <w:rtl w:val="true"/>
          <w:lang w:bidi="ar-SA"/>
        </w:rPr>
        <w:t>و موانع الصلاة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التذكية سبباً للطهارة و الحلّية و جواز الصلاة، بل عدم التذكية المساوق لكون الحيوان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زهوق الروح بخصوصيّة مغايرة للخصوصيّات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لمقابلاتها، فأصالة عدم سبب الطهارة و الحلّية و جواز الصلاة ممّا لا أصل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كون تلك الأحكام مجعولة مُسبّبة عن سبب، يمكن إجراء أصالة بقاء جامع السبب المُؤثّر في الطهارة و حلّية الأكل و جواز الصلاة فيه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أعاظم العصر رحمه اللَّه </w:t>
      </w:r>
      <w:r>
        <w:rPr>
          <w:rStyle w:val="FootnoteAnchor"/>
          <w:rtl w:val="true"/>
        </w:rPr>
        <w:footnoteReference w:id="227"/>
      </w:r>
      <w:r>
        <w:rPr>
          <w:rFonts w:ascii="Amiri" w:hAnsi="Amiri" w:eastAsia="Amiri" w:cs="Amiri"/>
          <w:color w:val="111111"/>
          <w:sz w:val="28"/>
          <w:sz w:val="28"/>
          <w:szCs w:val="28"/>
          <w:rtl w:val="true"/>
          <w:lang w:bidi="ar-SA"/>
        </w:rPr>
        <w:t xml:space="preserve">، و قد مرّ في مباحث البراءة كلامه و ما يرد عليه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حال الشبهات الحكميّة من جهة الشكّ في القابليّة، و لا يهمّنا التعرّض لسائر الشبهات الحكميّة؛ لوضوح حكمها غالباً</w:t>
      </w:r>
      <w:r>
        <w:rPr>
          <w:rFonts w:eastAsia="Amiri" w:cs="Amiri" w:ascii="Amiri" w:hAnsi="Amiri"/>
          <w:color w:val="111111"/>
          <w:sz w:val="28"/>
          <w:szCs w:val="28"/>
          <w:rtl w:val="true"/>
          <w:lang w:bidi="ar-SA"/>
        </w:rPr>
        <w:t>.</w:t>
      </w:r>
      <w:bookmarkStart w:id="185" w:name="pg2245_12734"/>
    </w:p>
    <w:p>
      <w:pPr>
        <w:pStyle w:val="Heading5"/>
        <w:numPr>
          <w:ilvl w:val="4"/>
          <w:numId w:val="1"/>
        </w:numPr>
        <w:rPr/>
      </w:pPr>
      <w:bookmarkStart w:id="186" w:name="__RefHeading___Toc1614017_3804643083"/>
      <w:bookmarkStart w:id="187" w:name="_Toc69"/>
      <w:bookmarkEnd w:id="185"/>
      <w:bookmarkEnd w:id="186"/>
      <w:r>
        <w:rPr>
          <w:rtl w:val="true"/>
        </w:rPr>
        <w:t>حكم الشبهات الموضوعيّة</w:t>
      </w:r>
      <w:bookmarkEnd w:id="187"/>
    </w:p>
    <w:p>
      <w:pPr>
        <w:pStyle w:val="BookText"/>
        <w:rPr/>
      </w:pPr>
      <w:r>
        <w:rPr>
          <w:rFonts w:ascii="Amiri" w:hAnsi="Amiri" w:eastAsia="Amiri" w:cs="Amiri"/>
          <w:color w:val="111111"/>
          <w:sz w:val="28"/>
          <w:sz w:val="28"/>
          <w:szCs w:val="28"/>
          <w:rtl w:val="true"/>
          <w:lang w:bidi="ar-SA"/>
        </w:rPr>
        <w:t>و أمّا الشبهات الموضوعيّة فلها صورة كثيرة، يرد على جميعها الشبهة السيّالة التي مرّ ذكرها</w:t>
      </w:r>
      <w:r>
        <w:rPr>
          <w:rStyle w:val="FootnoteAnchor"/>
          <w:rtl w:val="true"/>
        </w:rPr>
        <w:footnoteReference w:id="229"/>
      </w:r>
      <w:r>
        <w:rPr>
          <w:rFonts w:ascii="Amiri" w:hAnsi="Amiri" w:eastAsia="Amiri" w:cs="Amiri"/>
          <w:color w:val="111111"/>
          <w:sz w:val="28"/>
          <w:sz w:val="28"/>
          <w:szCs w:val="28"/>
          <w:rtl w:val="true"/>
          <w:lang w:bidi="ar-SA"/>
        </w:rPr>
        <w:t>، و اختصّ بعضها بشبهة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تذكية حيوان من جهة الشكّ في حصول ما هو المُعتبر في التذكية، كفري الأوداج و غيره، و هذه هي الصورة التي جرت فيها أصالة عدم التذكية، و لا شبهة فيها إلّا الشبهة المُتقدّمة السيّالة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جزء من الحيوان بأنَّه من معلوم التذكية، أو معلوم عدمها، فجريان أصالة الحلّ و الطهارة في الجزء ممّا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التذكية و عدمها من صفات الحيوان، لا من صفات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طهارة الأجزاء و حلّيتها من آثار تذكية الحيوان لا الجزء؛ لأنَّ السبب إنّما يرد على الحيوان، و كذا السبب المقابل، فتذكية الحيوان موجبة لطهارة الأجزاء و حلّيتها بناءً على سببيّتها لهما، و الموت بغير تذكية سبب لحُرمتها و نجاستها، و إن كانت التذكية واردة على الحيوان و كذا عدمها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الأصل بالنسبة إلى الحيوانين ممّا لا مجرى له؛ لمعلوميّة حالهما، و جريان أصالة عدم التذكية بالنسبة إلى الجزء لا معنى لها لما ذكرنا، و لا أصل يحرز كون الجزء من أيّ الحيوانين، و أصالة عدم تذكية ما اخذ منه الجزء لا معنى لها؛ لأنَّ هذا العنوان الانتزاعيّ ليس موضوعاً لحكم، و الحيوان الخارجيّ غير مشكوك فيه، فلا إشكال في جريان أصالتي الحلّ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غير فرق بين كون الحيوانين أو أحدهما في محلّ الابتلاء، أو لا كما في الأجزاء التي علم أنّها إمَّا مأخوذة من الحيوان المعلوم التذكية في بلاد الإسلام، أو من الحيوان المحكوم بعدمها في بلاد الكفر، فبناءً عليه لا تجري أصالة عدم التذكية في الجلود المصنوعة التي نقلت إلينا من بلاد الكفر، و تكون مشتبهة بين الجلود التي نقلت من بلاد المُسلمين إليهم و صنعوا بها ما صنعوا و ردّت بضاعتهم إليهم، و بين غيرها من جلود ذبائح الكفّار، لأنَّ الأمر دائر بين أخذها من معلوم التذكية، و معلوم عدمها، فلا مجرى للأصل بالنسبة إلى الحيوانين؛ لكونهما معلومين، و إنّما الشكّ في أخذها من أيّهما، و لا محرز لأخذها من غير المُذكّى، و قد عرفت عدم إجراء الأصل بالنسبة إلى الأجزاء بناءً على كون التذكية و اللّاتذكية من صفات الحيوان كما لا يبعد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بنينا على جريان الأصل بالنسبة إلى كلّ جزء فلا إشكال فيه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أخذ الجزء من أحد الحيوانين الذين علم إجمالًا بتذكية أحدهما و عدم تذكية الآخر، و كان الحيوانان في محلّ الابتلاء،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بجريان الأصل في كلا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يلزم منه المخالفة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عدم التذكية فيهما تحرز حرمة الجزء، و نجاسته و عدم حلّية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منعنا جريانهما مطلقاً، أو قلنا بتعارضهما، فهل يكون حال الجزء كحال ملاقي بعض أطراف العلم الإجماليّ، فيجري فيه أصلا الحلّ و الطهارة أو لا فيكون الجزء و المأخوذ منه طرفاً للعلم، و أصلهما يكون معارضاً للأصل الآخر، فيكون حاله نظير إناءين مشتبهين قسّم أحدهما قسمين؟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هو الثاني؛ لأنَّ التذكية و إن كانت واردة على الحيوان، لكن أثرها حلّية الحيوان و طهارته بجميع أجزائه في عرْض واحد، و كذا الحال في عدم التذكية، فلا يكون الشكّ في حلّية الجزء و طهارته مُسبّباً عن الشكّ في حلّية الكلّ و طهارته، بل يكون</w:t>
      </w:r>
      <w:bookmarkStart w:id="188" w:name="pg2245_12736"/>
    </w:p>
    <w:p>
      <w:pPr>
        <w:pStyle w:val="BookText"/>
        <w:rPr/>
      </w:pPr>
      <w:bookmarkEnd w:id="188"/>
      <w:r>
        <w:rPr>
          <w:rFonts w:ascii="Amiri" w:hAnsi="Amiri" w:eastAsia="Amiri" w:cs="Amiri"/>
          <w:color w:val="111111"/>
          <w:sz w:val="28"/>
          <w:sz w:val="28"/>
          <w:szCs w:val="28"/>
          <w:rtl w:val="true"/>
          <w:lang w:bidi="ar-SA"/>
        </w:rPr>
        <w:t>شكّهما مُسبّباً عن التذكية و عدمها، فيكون العلم الإجماليّ بحرمة الجزء و كلّه أو الطرف الآخر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الحيوانان خارجين عن محلّ الابتلاء، و قلنا بتأثير الخروج عن محلّ الابتلاء في عدم منجّزية العلم، و أغمضنا عن الإشكال الذي مرّ في باب الاشتغال </w:t>
      </w:r>
      <w:r>
        <w:rPr>
          <w:rStyle w:val="FootnoteAnchor"/>
          <w:rtl w:val="true"/>
        </w:rPr>
        <w:footnoteReference w:id="231"/>
      </w:r>
      <w:r>
        <w:rPr>
          <w:rFonts w:ascii="Amiri" w:hAnsi="Amiri" w:eastAsia="Amiri" w:cs="Amiri"/>
          <w:color w:val="111111"/>
          <w:sz w:val="28"/>
          <w:sz w:val="28"/>
          <w:szCs w:val="28"/>
          <w:rtl w:val="true"/>
          <w:lang w:bidi="ar-SA"/>
        </w:rPr>
        <w:t xml:space="preserve">، فأصالة عدم التذكية في الحيوان المأخوذ منه الجُزء لا معارض لها؛ لأنَّ الطرف لخروجه عن محلّ الابتلاء لا يجري فيه الأصل، و أمّا الحيوان المأخوذ منه الجزء فيجري فيه الأصل بلحاظ الجزء الذي هو محلّ الابتلاء، كما مرّ في باب الملاقي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أحدهما محلّ الابتلاء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الحيوان المأخوذ منه محلّ الابتلاء، فأصالة عدم التذكية فيه تحرز حرمة الجزء و نجاسته، و لا معارض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الآخر فالأصلان متعارضان؛ لجريانه في الخارج عن محلّ الابتلاء بلحاظ جزئه الذي هو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العلم الإجمالي بحرمة هذا الجزء و نجاسته، أو حرمة الحيوان و نجاسته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حال الفروض الاخرى المتصوّرة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مُقتضى الاصول من حيث الجريان و عدمه، فيؤخذ بها إلّا أن يدلّ دليل على خلافها</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614019_3804643083"/>
      <w:bookmarkStart w:id="190" w:name="_Toc70"/>
      <w:bookmarkEnd w:id="189"/>
      <w:r>
        <w:rPr>
          <w:rtl w:val="true"/>
        </w:rPr>
        <w:t>التنبيه الثالث استصحاب المتصرِّمات</w:t>
      </w:r>
      <w:bookmarkEnd w:id="190"/>
    </w:p>
    <w:p>
      <w:pPr>
        <w:pStyle w:val="Heading4"/>
        <w:numPr>
          <w:ilvl w:val="3"/>
          <w:numId w:val="1"/>
        </w:numPr>
        <w:rPr/>
      </w:pPr>
      <w:bookmarkStart w:id="191" w:name="__RefHeading___Toc1614021_3804643083"/>
      <w:bookmarkStart w:id="192" w:name="_Toc71"/>
      <w:bookmarkEnd w:id="191"/>
      <w:r>
        <w:rPr>
          <w:rtl w:val="true"/>
        </w:rPr>
        <w:t>اشارة</w:t>
      </w:r>
      <w:bookmarkEnd w:id="19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تعريف الاستصحاب و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الشكّ في البقاء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 في الزمان و الزمانيّات المُتصرّمة المُتقضّية؛ لعدم تصوّر البقاء</w:t>
      </w:r>
      <w:bookmarkStart w:id="193" w:name="pg2245_12737"/>
    </w:p>
    <w:p>
      <w:pPr>
        <w:pStyle w:val="BookText"/>
        <w:rPr/>
      </w:pPr>
      <w:bookmarkEnd w:id="193"/>
      <w:r>
        <w:rPr>
          <w:rFonts w:ascii="Amiri" w:hAnsi="Amiri" w:eastAsia="Amiri" w:cs="Amiri"/>
          <w:color w:val="111111"/>
          <w:sz w:val="28"/>
          <w:sz w:val="28"/>
          <w:szCs w:val="28"/>
          <w:rtl w:val="true"/>
          <w:lang w:bidi="ar-SA"/>
        </w:rPr>
        <w:t>فيها</w:t>
      </w:r>
      <w:r>
        <w:rPr>
          <w:rStyle w:val="FootnoteAnchor"/>
          <w:rtl w:val="true"/>
        </w:rPr>
        <w:footnoteReference w:id="233"/>
      </w:r>
      <w:r>
        <w:rPr>
          <w:rFonts w:ascii="Amiri" w:hAnsi="Amiri" w:eastAsia="Amiri" w:cs="Amiri"/>
          <w:color w:val="111111"/>
          <w:sz w:val="28"/>
          <w:sz w:val="28"/>
          <w:szCs w:val="28"/>
          <w:rtl w:val="true"/>
          <w:lang w:bidi="ar-SA"/>
        </w:rPr>
        <w:t>فأنكر شيخنا العلّامة رحمه اللَّه اعتبار الشكّ في البقاء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فيه هو مفاد الأخبار، و المُعتبر فيها هو صدق نقض اليقين بالشكّ و هو صادق في التدريجيّات و غيرها؛ ضرورة أنّها ما لم تنقطع وجود واحد حقيقيّ و إن كان مُتصرّماً، فلو شكّ في تحقّق الحركة أو الزمان بعد العلم بتحقّقهما فقد شكّ في تحقّق عين ما كان مُتحقّقاً سابقاً، فلا يحتاج في التمسّك بالأخبار إلى المُسامحة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المُعتبر في الاستصحاب الشكّ في البقاء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الزمان و الزمانيّات المُتصرّمة خارج عن العنوان المذكور؛ لعدم تصوّر البقاء لها إلّا بالمسامحة العرفيّة، لكن ليس هذا العنوان في الأدلّة</w:t>
      </w:r>
      <w:r>
        <w:rPr>
          <w:rStyle w:val="FootnoteAnchor"/>
          <w:rtl w:val="true"/>
        </w:rPr>
        <w:footnoteReference w:id="23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يظهر ذلك من الشيخ الأنصاريّ أيضاً حيث تفصّى عن الإشكال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بالبقاء في تعريف الاستصحاب بلحاظ صدقه في الزمانيّات و إن لم يصدق في نفس الزمان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البقاء أعمّ من الحقيقيّ كما في الزمانيّات، و المُسامحيّ كما في الزمان، و إلّا فالعبرة بالشكّ في وجوده العلمُ بتحقّقه قبل زمان الشكّ، و إن كان تحقّقه بنفس تحقّق زمان الشكّ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1614023_3804643083"/>
      <w:bookmarkStart w:id="195" w:name="_Toc72"/>
      <w:bookmarkEnd w:id="194"/>
      <w:r>
        <w:rPr>
          <w:rtl w:val="true"/>
        </w:rPr>
        <w:t>تحقيق المقام</w:t>
      </w:r>
      <w:bookmarkEnd w:id="19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البقاء مُعتبر في الاستصحاب و مُستفاد من الأدلّة، و مع ذلك لا إشكال في جريانه في الزمان و الزمانيّات المُتصرّمة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استفادة اعتباره منها؛ فلأنَّ مُقتضى الكبرى المجعولة و هي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اليقين الفعليّ لا ينقض بالشكّ الفعليّ، و لازمه أن يكون هنا شكّ فعليّ مُتعلّق بعين ما تعلّق به اليقين الفعليّ، و لا يُتصوّر ذلك إلّا بأن يكون الشكّ في بقاء ما علم وجوده سابقاً،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كنت على يقين من طهارتك فشككت، و ليس ينبغي لك أن تنقض اليقين بالشكّ أبداً</w:t>
      </w:r>
      <w:r>
        <w:rPr>
          <w:rFonts w:eastAsia="Amiri" w:cs="Amiri" w:ascii="Amiri" w:hAnsi="Amiri"/>
          <w:color w:val="111111"/>
          <w:sz w:val="28"/>
          <w:szCs w:val="28"/>
          <w:rtl w:val="true"/>
          <w:lang w:bidi="ar-SA"/>
        </w:rPr>
        <w:t>)</w:t>
      </w:r>
    </w:p>
    <w:p>
      <w:pPr>
        <w:pStyle w:val="BookText"/>
        <w:rPr/>
      </w:pPr>
      <w:r>
        <w:rPr>
          <w:rStyle w:val="FootnoteAnchor"/>
          <w:rtl w:val="true"/>
        </w:rPr>
        <w:footnoteReference w:id="237"/>
      </w:r>
      <w:r>
        <w:rPr>
          <w:rFonts w:ascii="Amiri" w:hAnsi="Amiri" w:eastAsia="Amiri" w:cs="Amiri"/>
          <w:color w:val="111111"/>
          <w:sz w:val="28"/>
          <w:sz w:val="28"/>
          <w:szCs w:val="28"/>
          <w:rtl w:val="true"/>
          <w:lang w:bidi="ar-SA"/>
        </w:rPr>
        <w:t>عبارة اخرى عن الشكّ في بقاء الطهارة، فكيف يقال لا يستفاد ذلك من الأخبار</w:t>
      </w:r>
      <w:r>
        <w:rPr>
          <w:rStyle w:val="FootnoteAnchor"/>
          <w:rtl w:val="true"/>
        </w:rPr>
        <w:footnoteReference w:id="23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مع اعتباره يكون الاستصحاب جارياً في الزمان و الحركة؛ فلبقاء هويّتهما الشخصيّة، و وجودهما الخارجي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 العقل فلما هو المُقرّر في محلّه </w:t>
      </w:r>
      <w:r>
        <w:rPr>
          <w:rStyle w:val="FootnoteAnchor"/>
          <w:rtl w:val="true"/>
        </w:rPr>
        <w:footnoteReference w:id="239"/>
      </w:r>
      <w:r>
        <w:rPr>
          <w:rFonts w:ascii="Amiri" w:hAnsi="Amiri" w:eastAsia="Amiri" w:cs="Amiri"/>
          <w:color w:val="111111"/>
          <w:sz w:val="28"/>
          <w:sz w:val="28"/>
          <w:szCs w:val="28"/>
          <w:rtl w:val="true"/>
          <w:lang w:bidi="ar-SA"/>
        </w:rPr>
        <w:t>من وجود الحركة القطعيّة؛ أي الوجود المُستمر المُتدرّج، و إن كان نحو وجودها مُتصرّماً مُتقضّياً، فما دام المُتحرّك مُتحرّكاً تكون الحركة مُتحقّقة باقية بعين شخصيّته المُتدرّجة، و لكلّ موجود نحو وجود خاصّ به، يكون عدمه بعدم هذا الوجود، لا الوجود الغير اللائق به فالحركة و الزمان يكون نحو وجودهما اللائق بهما هو الوجود المُتصرّم المُتجدّد، لا الوجود الثابت، فالنافي لوجود الحركة القطعيّة و الزمان إن نفى عنهما الوجود الثابت فقد نفى عنهما ما لا يكون وجوداً لهما، و إن نفى الوجود المُتصرّم المُتجدّد عنهما فقد التزم بما هو خلاف الضرورة، فالحركة أمر مُمتدّ مُستمرّ باق بالامتداد التصرّمي و البقاء التجدّدي و الاستمرار التغيّري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الموجود هو الحركة التوسّطية لا القطعيّة</w:t>
      </w:r>
      <w:r>
        <w:rPr>
          <w:rStyle w:val="FootnoteAnchor"/>
          <w:rtl w:val="true"/>
        </w:rPr>
        <w:footnoteReference w:id="240"/>
      </w:r>
      <w:r>
        <w:rPr>
          <w:rFonts w:ascii="Amiri" w:hAnsi="Amiri" w:eastAsia="Amiri" w:cs="Amiri"/>
          <w:color w:val="111111"/>
          <w:sz w:val="28"/>
          <w:sz w:val="28"/>
          <w:szCs w:val="28"/>
          <w:rtl w:val="true"/>
          <w:lang w:bidi="ar-SA"/>
        </w:rPr>
        <w:t>لأنَ</w:t>
      </w:r>
    </w:p>
    <w:p>
      <w:pPr>
        <w:pStyle w:val="BookText"/>
        <w:rPr/>
      </w:pPr>
      <w:r>
        <w:rPr>
          <w:rFonts w:ascii="Amiri" w:hAnsi="Amiri" w:eastAsia="Amiri" w:cs="Amiri"/>
          <w:color w:val="111111"/>
          <w:sz w:val="28"/>
          <w:sz w:val="28"/>
          <w:szCs w:val="28"/>
          <w:rtl w:val="true"/>
          <w:lang w:bidi="ar-SA"/>
        </w:rPr>
        <w:t>الحركة التوسّطية لو كانت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انقطاع كلّ حدّ و آن عن سابقه و لاحقه، و وجود الحدّ الآخر و الآن الآخر بعده مُنقطعاً عن الحدّ و الآن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إنكار الحركة أوّلًا؛ فإنَّ تبادل الآنات لا يوجب وجود الحركة، و الجزء الذي لا يتجزّأ و تتالي الآنات ثانياً؛ و لهذا تكون الحركة بمعنى التوسط و الآن السيال ممّا لا وجود لهما، بل ما هو الموجود هو الحركة القطعيّة و الزمان، لكن نحو وجودهما يكون بالامتداد التصرّمي و الاستمرار التجدّدي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 يرون أنَّ اليوم إذا وجد يكون باقياً إلى اللّيل، و اللّيلَ باقياً إلى اليوم، و لا ينافي ذلك اعتبار الساعات و الحدود لهما، فلعلّ ارتكاز العرف يساعد العقل في البقاء التصرّمي و الاستمرار التجدّدي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صدق البقاء عُرفاً على استمرار النهار و اللّيل و كذا الحركات، فإذا تحرّك شي‌ء تكون حركته موجودة باقية عُرفاً إلى انقطاعها بالسكون، و لا تكون الحركة مجموع دقائق و ساعات، منضمّ بعضها إلى بعض و هذا ممّا لا إشكال فيه، إنّما الإشكال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الأنصاريّ و تبعه غيره، من أنَّ استصحاب بقاء النهار أو اللّيل، لا يثبت كون الجزء المشكوك فيه مُتّصفاً بكونه من النهار أو من اللّيل، حتّى يصدق على الفعل الواقع فيه أنَّه واقع في الليل أو النهار، إلّا على القول بالأصل المُثبت مطلقاً أو على بعض الوجوه الآتية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الموقّتات إحراز وقوعها في الزمان الذي اخذ ظرفاً لامتثالها، فيعتبر في الصيام وقوعه في الظرف المُعتبر وقوعه فيه و هو شهر رمضان، و كذا الصلاة اليوميّة لا بدّ من إحراز وقوعها في اللّيل أو النهار، فاستصحاب بقاء النهار أو اللّيل</w:t>
      </w:r>
    </w:p>
    <w:p>
      <w:pPr>
        <w:pStyle w:val="BookText"/>
        <w:rPr/>
      </w:pPr>
      <w:r>
        <w:rPr>
          <w:rFonts w:ascii="Amiri" w:hAnsi="Amiri" w:eastAsia="Amiri" w:cs="Amiri"/>
          <w:color w:val="111111"/>
          <w:sz w:val="28"/>
          <w:sz w:val="28"/>
          <w:szCs w:val="28"/>
          <w:rtl w:val="true"/>
          <w:lang w:bidi="ar-SA"/>
        </w:rPr>
        <w:t>أو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إثبات كون هذا الزمان من اللّيل أو النهار أو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وقوع الفعل فيه؛ فإنَّ كون الفعل مُتقيّداً بوقوعه في هذا الزمان من اللّوازم العقليّة لكون الزمان من اللّيل أو النهار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لا يخفى وهن الإشكال الثاني؛ فإنَّ وقوع الفعل في هذا الزمان وجدانيّ، فإذا حكم الشارع بالاستصحاب أنَّ هذا الزمان نهار لا يحتاج إلى أمر آخر إلّا إتيان الصلاة أو الصيام فيه، كما إذا شكّ في عالميّة زيد، فيستصحب كونه عالماً لوجوب إكرامه؛ فإنَّه إذا ثبت بالاستصحاب أنَّ هذا الشخص الخارجيّ عالم لا يكون إثبات وجوب إكرامه أصلًا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من 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القضايا الحقيقيّة يصير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وجد في الخارج و كان شهر رمضان يجب الصوم فيه، و كلّ ما وجد في الخارج و كان نهاراً يجب الصلاة فيه، فإذا وجد زمان في الخارج، و حكم بالاستصحاب أنَّه شهر رمضان، يكون حكمه أنَّ الصوم فيه واجب، و كذا الصلاة، فوجوب الصوم في شهر رمضان من أحكام كون هذا الزمان شهر رمضان المحرز بالاستصحاب، و وجوب الصلاة فيه من أحكام بقاء النهار أو اللّيل، كما أنَّ وجوب إكرام هذا الشخص الموجود من أحكام كونه عالماً، و طهارة ما غسل بالماء الخارجيّ من أحكام كونه كرّاً، و لا إشكال في عدم كون أمثال ذلك من الأصل المُثبت، فالعمدة هو الجواب عن الإشكال الأوّل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يجاب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الزمان عبارة عن الهويّة الخارجيّة المُستمرّة الباقية بالبقاء التصرّمي كما عرفت، فإذا علم بوجود النهار فقد علم أنَّ هذه الهويّة المُستمرّة</w:t>
      </w:r>
    </w:p>
    <w:p>
      <w:pPr>
        <w:pStyle w:val="BookText"/>
        <w:rPr/>
      </w:pPr>
      <w:r>
        <w:rPr>
          <w:rFonts w:ascii="Amiri" w:hAnsi="Amiri" w:eastAsia="Amiri" w:cs="Amiri"/>
          <w:color w:val="111111"/>
          <w:sz w:val="28"/>
          <w:sz w:val="28"/>
          <w:szCs w:val="28"/>
          <w:rtl w:val="true"/>
          <w:lang w:bidi="ar-SA"/>
        </w:rPr>
        <w:t>متّصفة بكونها نهاراً، و إذا شكّ في بقاء النهار يكون الشكّ في زوال تلك الصفة عنها، فالمعلوم في الزمان السابق كون هذه الهويّة المُستمرّة نهاراً، و المشكوك فيه هو بقاؤها على صفة النهاريّة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تسمع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الزمان الحاضر حدث إمّا من اللّيل أو من النهار، فلا يقين بكونه منهما حتّى تستصحب حالته السابقة</w:t>
      </w:r>
      <w:r>
        <w:rPr>
          <w:rStyle w:val="FootnoteAnchor"/>
          <w:rtl w:val="true"/>
        </w:rPr>
        <w:footnoteReference w:id="243"/>
      </w:r>
      <w:r>
        <w:rPr>
          <w:rFonts w:ascii="Amiri" w:hAnsi="Amiri" w:eastAsia="Amiri" w:cs="Amiri"/>
          <w:color w:val="111111"/>
          <w:sz w:val="28"/>
          <w:sz w:val="28"/>
          <w:szCs w:val="28"/>
          <w:rtl w:val="true"/>
          <w:lang w:bidi="ar-SA"/>
        </w:rPr>
        <w:t>لأنَّ ذلك مساوق لإنكار بقاء الزمان و اللّيل و النهار، و قد عرفت أنَّ ما هو باق من الحركة أو الزمان نفس ما كان مُتحقّقاً سابقاً؛ لأنَّ الزمان أو الحركة ليسا مركّبين من القطعات، و الماضي و الحال و الاستقبال ليست اجزاءً للزمان بحسب الهويّة الخارجيّة لا عقلًا و لا عرفاً، بل التقطيع إنّما هو بالوهم، فتكون هويّة الزمان و الحركة أمراً بسيطاً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ببقاء النهار في الحال عبارة اخرى عن كون هذا الحال نهاراً؛ فإنَّ الزمان لا يكون في الزمان حتّى بنظر العرف،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 بكون النهار موجوداً في الحال عند الشكّ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العرف منه أنَّ هذا الزمان الحاضر هو النهار، لا أنَّ النهار شي‌ء، و الزمان الحاضر شي‌ء آخر، و ليس هذا من الأصل المُثبت، و ليس كاستصحاب الكلّي لإثبات الفرد؛ لأنَّ الكلّي ليس عبارة اخرى عن الفرد في نظر العرف، و أمّا كون النهار موجوداً في هذا الزمان فهو عبارة اخرى عن كون الزمان الحاضر نهاراً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إجراء الاستصحاب التعليقيّ على نحو التعليق في الموضوع؛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صلّيت في الزمان السابق المعلوم كونه نهاراً لكانت صلاتي في النهار، فشككت في بقاء هذا الأمر، فاستصحب أنَّ صلاتي لو وجدت تكون في النهار، فإيجادها وجدانيّ،</w:t>
      </w:r>
      <w:bookmarkStart w:id="196" w:name="pg2245_12742"/>
    </w:p>
    <w:p>
      <w:pPr>
        <w:pStyle w:val="BookText"/>
        <w:rPr/>
      </w:pPr>
      <w:bookmarkEnd w:id="196"/>
      <w:r>
        <w:rPr>
          <w:rFonts w:ascii="Amiri" w:hAnsi="Amiri" w:eastAsia="Amiri" w:cs="Amiri"/>
          <w:color w:val="111111"/>
          <w:sz w:val="28"/>
          <w:sz w:val="28"/>
          <w:szCs w:val="28"/>
          <w:rtl w:val="true"/>
          <w:lang w:bidi="ar-SA"/>
        </w:rPr>
        <w:t>و كونها واقعة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بحكم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جريان الأصل التعليقيّ بنحو التعليق في الموضوع محلّ إشكال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حال استصحاب نفس الزمان أو ما هو مثله كالحركة</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614025_3804643083"/>
      <w:bookmarkStart w:id="198" w:name="_Toc73"/>
      <w:bookmarkEnd w:id="197"/>
      <w:r>
        <w:rPr>
          <w:rtl w:val="true"/>
        </w:rPr>
        <w:t>استصحاب الزمانيّات</w:t>
      </w:r>
      <w:bookmarkEnd w:id="198"/>
    </w:p>
    <w:p>
      <w:pPr>
        <w:pStyle w:val="BookText"/>
        <w:rPr/>
      </w:pPr>
      <w:r>
        <w:rPr>
          <w:rFonts w:ascii="Amiri" w:hAnsi="Amiri" w:eastAsia="Amiri" w:cs="Amiri"/>
          <w:color w:val="111111"/>
          <w:sz w:val="28"/>
          <w:sz w:val="28"/>
          <w:szCs w:val="28"/>
          <w:rtl w:val="true"/>
          <w:lang w:bidi="ar-SA"/>
        </w:rPr>
        <w:t>و أمّا غير الحركة من الزمانيّات المُتصرّمة المُتقضّية فهي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تصرّمه و تقضّيه ممّا لا يراه العرف، بل يكون بنظرهم ثابتاً كسائر الثابتات، كشعلة السراج التي يراها العرف باقية من أوّل الليل إلى آخره من غير تصرّم و تغيّر، مع أنَّ الواقع خلافه، و كشعاع الشمس الواقع على الجدار الذي يرونه ثابتاً غير 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العرف تصرّمه و تغيّره، لكن يكون نحو بقائه كبقاء نفس الزمان و الحركة ممّا يكون واحداً عقلًا و عرفاً، و إن كانت وحدته و بقاؤه بعين تصرّمه و تقضّيه، كصوت مُمتدّ مثل الرعد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وحدته و بقاؤه بنحو من الاعتبار، مثل ما فرضه الشيخ الأنصاريّ رحمه اللَّه بالنسبة إلى الزمان و الزمانيّات مطلقاً</w:t>
      </w:r>
      <w:r>
        <w:rPr>
          <w:rStyle w:val="FootnoteAnchor"/>
          <w:rtl w:val="true"/>
        </w:rPr>
        <w:footnoteReference w:id="245"/>
      </w:r>
      <w:r>
        <w:rPr>
          <w:rFonts w:ascii="Amiri" w:hAnsi="Amiri" w:eastAsia="Amiri" w:cs="Amiri"/>
          <w:color w:val="111111"/>
          <w:sz w:val="28"/>
          <w:sz w:val="28"/>
          <w:szCs w:val="28"/>
          <w:rtl w:val="true"/>
          <w:lang w:bidi="ar-SA"/>
        </w:rPr>
        <w:t>، و لعلّ هذا الاعتبار مُحتاج إليه في هذا القسم، و هو مثل التكلّم و قرعات النبض و الساعة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في جريان الاستصحاب في الأوّل منها، سواءً جرى في الزمان</w:t>
      </w:r>
    </w:p>
    <w:p>
      <w:pPr>
        <w:pStyle w:val="BookText"/>
        <w:rPr/>
      </w:pPr>
      <w:r>
        <w:rPr>
          <w:rFonts w:ascii="Amiri" w:hAnsi="Amiri" w:eastAsia="Amiri" w:cs="Amiri"/>
          <w:color w:val="111111"/>
          <w:sz w:val="28"/>
          <w:sz w:val="28"/>
          <w:szCs w:val="28"/>
          <w:rtl w:val="true"/>
          <w:lang w:bidi="ar-SA"/>
        </w:rPr>
        <w:t>و الحركة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الثاني حاله حال نفس الزمان و الحركة، و قد عرفت جريانه فيهما من غير احتياج إلى الاعتبار الذي اعتبره الشيخ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القسم الثالث أسوأ حالًا من الزمان و الحركة، و إن كان الأقوى جريانه فيه أيضاً؛ لمساعدة العرف في صدق البقاء، و أنَّ رفع اليد عنه هو نقض اليقين بالشكّ، و هذا ممّا لا شبهة فيه، لكنّ الظاهر أنَّه من قبيل القسم الثاني من القسم الثالث من الكلّي، لا القسم الأوّل أو الثالث من الثالث كما اختاره الشيخ الأعظم </w:t>
      </w:r>
      <w:r>
        <w:rPr>
          <w:rStyle w:val="FootnoteAnchor"/>
          <w:rtl w:val="true"/>
        </w:rPr>
        <w:footnoteReference w:id="246"/>
      </w:r>
      <w:r>
        <w:rPr>
          <w:rFonts w:ascii="IRNazanin" w:hAnsi="IRNazanin" w:eastAsia="IRNazanin"/>
          <w:color w:val="111111"/>
          <w:sz w:val="28"/>
          <w:sz w:val="28"/>
          <w:szCs w:val="28"/>
          <w:rtl w:val="true"/>
          <w:lang w:bidi="fa-IR"/>
        </w:rPr>
        <w:t xml:space="preserve">و تبعه بعض الأعاظم </w:t>
      </w:r>
      <w:r>
        <w:rPr>
          <w:rStyle w:val="FootnoteAnchor"/>
          <w:rtl w:val="true"/>
        </w:rPr>
        <w:footnoteReference w:id="247"/>
      </w:r>
      <w:r>
        <w:rPr>
          <w:rFonts w:ascii="Amiri" w:hAnsi="Amiri" w:eastAsia="Amiri" w:cs="Amiri"/>
          <w:color w:val="111111"/>
          <w:sz w:val="28"/>
          <w:sz w:val="28"/>
          <w:szCs w:val="28"/>
          <w:rtl w:val="true"/>
          <w:lang w:bidi="ar-SA"/>
        </w:rPr>
        <w:t>ضرورة أنَّ العُرف يرى كلّ كلمة و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خطابة واحدة، أو مجلس وعظ واحد، من التحميد و التهليل و الشعر و النثر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غير ما يلحقه، و الوحدة بينها اعتباريّة حتّى في نظر العرف، فمع الاشتغال بأوّله يرى وجود الموجود الاعتباريّ بوجه من المُسامحة، لا على سبيل الحقيقة، فلم يصدق نقض اليقين بالشكّ بالنسبة إلى المجموع إلّا بالمسامحة و التأوّل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في محلّه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موضوعات الأحكام تؤخذ من العرف، لكن لا على وجه المُسامحة، بل على نحو الحقيقة و الدقّة العُرفيّة، و إن لم تكن على نحو الدقّة العقليّة، فصدق عدم نقض اليقين بالشكّ ليس إلّا بالنسبة إلى ماهيّة الكلام و الخطابة، كصدق البقاء بالنسبة إلى نوع الإنسان، و عدم نقض اليقين بالشكّ فيه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اختلاف الدواعي لا يصير موجباً لاختلاف شخصيّة الكلام غالباً؛ لأنَّ المُتكلّم المُتشاغل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كالخطيب و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 له الدواعي المُختلفة في كلامه، مع أنَّه ما دام مُتشاغلًا به تكون وحدة كلامه محفوظة عرفاً، فوحدة</w:t>
      </w:r>
    </w:p>
    <w:p>
      <w:pPr>
        <w:pStyle w:val="BookText"/>
        <w:rPr/>
      </w:pPr>
      <w:r>
        <w:rPr>
          <w:rFonts w:ascii="Amiri" w:hAnsi="Amiri" w:eastAsia="Amiri" w:cs="Amiri"/>
          <w:color w:val="111111"/>
          <w:sz w:val="28"/>
          <w:sz w:val="28"/>
          <w:szCs w:val="28"/>
          <w:rtl w:val="true"/>
          <w:lang w:bidi="ar-SA"/>
        </w:rPr>
        <w:t>الكلام و عدمها لا تتقوّمان بوحدة الداعي و عدمها، لا طرداً و لا عكساً، كما يظهر بالتأمّل في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بعض أعاظم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شكّ في بقاء الزمانيّ لأجل احتمال قيام مبدأ آخر يقتضي وجوده فالأقوى عدم الجريان؛ لرجوعه إلى الوجه الثاني من القسم الثالث من أقسام استصحاب الكلّي، فإنَّ وحدة الكلام عرفاً إنّما تكون بوحدة الداعي </w:t>
      </w:r>
      <w:r>
        <w:rPr>
          <w:rStyle w:val="FootnoteAnchor"/>
          <w:rtl w:val="true"/>
        </w:rPr>
        <w:footnoteReference w:id="249"/>
      </w:r>
      <w:r>
        <w:rPr>
          <w:rFonts w:ascii="Amiri" w:hAnsi="Amiri" w:eastAsia="Amiri" w:cs="Amiri"/>
          <w:color w:val="111111"/>
          <w:sz w:val="28"/>
          <w:sz w:val="28"/>
          <w:szCs w:val="28"/>
          <w:rtl w:val="true"/>
          <w:lang w:bidi="ar-SA"/>
        </w:rPr>
        <w:t>، ليس على إطلاقه بصحيح؛ لأنَّ الميزان في وحدة الكلام هو نفس شخصيّته و وجوده، لا الدواعي الموجبة لإيجاده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يكون الزمان قيداً لأمرٍ مُستقرّ فجريان الاستصحاب فيه كجريانه في نفس الزمان إشكالًا و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الإشكال في الأقسام الثلاثة واحد، و هو أنَّ التقضّي و التصرّم في المستصحب هل يوجب عدم جريانه أم لا؟ فكما إذا شكّ في بقاء النهار يكون استصحاب النهار مورداً للبحث، كذلك إذا قيّد الجلوس بالنهار يكون محلّ البحث ما إذا شك في بقاء النهار، و أنَّ الجلوس المُتقيّد بأمر مُتصرّم هل يجري الاستصحاب فيه أم لا؟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استصحاب نفس وجوب الجلوس بعد مضيّ النهار فليس مورداً للبحث هاهنا، و مناط الإشكال فيه ليس مناطه في الزمان و الزمانيّات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إذا اخذ قيداً لا يجري الاستصحاب بعده، و إذا اخذ ظرفاً يجري بعده؛ لأنَّ ذلك خروج عن محطّ البحث و مورد النقض و الإبرام، و هذا خلط واقع من الشيخ الأعظم </w:t>
      </w:r>
      <w:r>
        <w:rPr>
          <w:rStyle w:val="FootnoteAnchor"/>
          <w:rtl w:val="true"/>
        </w:rPr>
        <w:footnoteReference w:id="250"/>
      </w:r>
      <w:r>
        <w:rPr>
          <w:rFonts w:ascii="Amiri" w:hAnsi="Amiri" w:eastAsia="Amiri" w:cs="Amiri"/>
          <w:color w:val="111111"/>
          <w:sz w:val="28"/>
          <w:sz w:val="28"/>
          <w:szCs w:val="28"/>
          <w:rtl w:val="true"/>
          <w:lang w:bidi="ar-SA"/>
        </w:rPr>
        <w:t xml:space="preserve">، و تبعه غيره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199" w:name="pg2245_12745"/>
    </w:p>
    <w:p>
      <w:pPr>
        <w:pStyle w:val="Heading4"/>
        <w:numPr>
          <w:ilvl w:val="3"/>
          <w:numId w:val="1"/>
        </w:numPr>
        <w:rPr/>
      </w:pPr>
      <w:bookmarkStart w:id="200" w:name="__RefHeading___Toc1614027_3804643083"/>
      <w:bookmarkStart w:id="201" w:name="_Toc74"/>
      <w:bookmarkEnd w:id="199"/>
      <w:bookmarkEnd w:id="200"/>
      <w:r>
        <w:rPr>
          <w:rtl w:val="true"/>
        </w:rPr>
        <w:t>شبهة النراقيّ</w:t>
      </w:r>
      <w:bookmarkEnd w:id="201"/>
    </w:p>
    <w:p>
      <w:pPr>
        <w:pStyle w:val="BookText"/>
        <w:rPr/>
      </w:pPr>
      <w:r>
        <w:rPr>
          <w:rFonts w:ascii="Amiri" w:hAnsi="Amiri" w:eastAsia="Amiri" w:cs="Amiri"/>
          <w:color w:val="111111"/>
          <w:sz w:val="28"/>
          <w:sz w:val="28"/>
          <w:szCs w:val="28"/>
          <w:rtl w:val="true"/>
          <w:lang w:bidi="ar-SA"/>
        </w:rPr>
        <w:t>و ممّا ذكرنا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كلام الفاضل النراقيّ رحمه اللَّه في ذيل هذا المبحث غير مُناسب؛ لأنَّ إشكاله إنّما هو معارضة استصحاب الوجوديّ بالعدميّ في الأحكام بعد مضيّ الزمان الذي اخذ ظرفاً للواجب أو الوجوب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مناهج الأحكام و الاصول، عوائد الأيّام، مشكلات العلوم، ديوان شعر، معراج السعادة، توفي بنراق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حمل إلى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هدية الأحباب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ليست شبهة مرتبطة بالشبهة التي في الزمان و الزمانيّات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فمُحصّل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الوجود دائماً معارض باستصحاب العدم الأزليّ في الأحكام، تكليفيّة كانت أو وضعيّة، فاستصحاب وجوب الجلوس بعد الزوال معارض باستصحاب عدم وجوب الجلوس المُتقيّد بكونه بعد الزوال؛ فإنَّ عنوان الجلوس المُتقيّد بما بعد الزوال من العناوين التي يمكن أن تكون مُستقلّة في الحكم، فهو غير محكوم بالوجوب في الأزل، فيُستصحب عدم الوجوب الأزليّ، و يُعارض باستصحاب وجوب الجلوس الثابت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إشكال عدم اتصال زمان الشكّ باليقين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قبل مجي‌ء يوم الجمعة يكون الشكّ و اليقين حاصلين، و مُتّصلًا أحدهما بالآخر</w:t>
      </w:r>
      <w:r>
        <w:rPr>
          <w:rStyle w:val="FootnoteAnchor"/>
          <w:rtl w:val="true"/>
        </w:rPr>
        <w:footnoteReference w:id="253"/>
      </w:r>
      <w:r>
        <w:rPr>
          <w:rFonts w:ascii="IRNazanin" w:hAnsi="IRNazanin" w:eastAsia="IRNazanin"/>
          <w:color w:val="111111"/>
          <w:sz w:val="28"/>
          <w:sz w:val="28"/>
          <w:szCs w:val="28"/>
          <w:rtl w:val="true"/>
          <w:lang w:bidi="fa-IR"/>
        </w:rPr>
        <w:t>، و هذا الجواب منه مُجمل أو مخدوش</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زمان الشكّ مُتّصل باليقين بالنسبة إلى هذا</w:t>
      </w:r>
      <w:bookmarkStart w:id="202" w:name="pg2245_12746"/>
    </w:p>
    <w:p>
      <w:pPr>
        <w:pStyle w:val="BookText"/>
        <w:rPr/>
      </w:pPr>
      <w:bookmarkEnd w:id="202"/>
      <w:r>
        <w:rPr>
          <w:rFonts w:ascii="Amiri" w:hAnsi="Amiri" w:eastAsia="Amiri" w:cs="Amiri"/>
          <w:color w:val="111111"/>
          <w:sz w:val="28"/>
          <w:sz w:val="28"/>
          <w:szCs w:val="28"/>
          <w:rtl w:val="true"/>
          <w:lang w:bidi="ar-SA"/>
        </w:rPr>
        <w:t>الموضوع المُقيّد؛ فإنَّه قبل وجود الحكم من الشارع، أو قبل بلوغ المُكلّف معلوم عدم وجوبه، و بعد ورود الحكم و بلوغه صار مشكوكاً فيه، حتّى قبل الزوال الذي هو ظرف وجوب نفس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المُتخلّل بين زمان الشكّ و اليقين هو العلم بوجوب الجلوس، لا بوجوب الجلوس المُتقيّد بما بعد الزوال، و المُضرّ هو الثاني دون الأوّل؛ فإنَّه غير منافٍ للشكّ بوجوب الجلوس المُتقيّد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 ورود أمر الشارع كان وجوب الجلوس قبل الزوال، و وجوب الجلوس المُتقيّد بما بعد الزوال معلوم العدم، و بعد وروده صار وجوب الجلوس قبل الزوال معلوم التحقّق، و وجوب الجلوس المُتقيّد بما بعد الزوال مشكوكاً فيه حتى في ظرف العلم بوجوب الجلوس قبل الزوال؛ لعدم التنافي بينهما، فيستصحب وجوب الجلوس، و عدم وجوب المُتقيّد، و هما 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الإشكال في الأحكام الوضعيّة بنحو آخر</w:t>
      </w:r>
      <w:r>
        <w:rPr>
          <w:rStyle w:val="FootnoteAnchor"/>
          <w:rtl w:val="true"/>
        </w:rPr>
        <w:footnoteReference w:id="254"/>
      </w:r>
      <w:r>
        <w:rPr>
          <w:rFonts w:ascii="Amiri" w:hAnsi="Amiri" w:eastAsia="Amiri" w:cs="Amiri"/>
          <w:color w:val="111111"/>
          <w:sz w:val="28"/>
          <w:sz w:val="28"/>
          <w:szCs w:val="28"/>
          <w:rtl w:val="true"/>
          <w:lang w:bidi="ar-SA"/>
        </w:rPr>
        <w:t xml:space="preserve">مذكور في رسائل الشيخ </w:t>
      </w:r>
      <w:r>
        <w:rPr>
          <w:rStyle w:val="FootnoteAnchor"/>
          <w:rtl w:val="true"/>
        </w:rPr>
        <w:footnoteReference w:id="255"/>
      </w:r>
      <w:r>
        <w:rPr>
          <w:rFonts w:ascii="Amiri" w:hAnsi="Amiri" w:eastAsia="Amiri" w:cs="Amiri"/>
          <w:color w:val="111111"/>
          <w:sz w:val="28"/>
          <w:sz w:val="28"/>
          <w:szCs w:val="28"/>
          <w:rtl w:val="true"/>
          <w:lang w:bidi="ar-SA"/>
        </w:rPr>
        <w:t>، و أجاب عنه الأعاظم بأجوبة غالبها مخدوش فيه</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614029_3804643083"/>
      <w:bookmarkStart w:id="204" w:name="_Toc75"/>
      <w:bookmarkEnd w:id="203"/>
      <w:r>
        <w:rPr>
          <w:rtl w:val="true"/>
        </w:rPr>
        <w:t>جواب الشيخ عن الشبهة و ما فيه</w:t>
      </w:r>
      <w:bookmarkEnd w:id="20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الأعظم قدس سره، و محصّل إشكاله الأوّل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إن اخذ ظرفاً للجلوس فلا يجري استصحاب العدم؛ لأنَّه إذا انقلب العدم إلى الوجود المردّد بين كونه في قطعة خاصّة من الزمان، و كونه أزيد، و المفروض تسليم حكم الشارع بأنَّ المُتيقّن في زمان لا بدّ من إبقائه، فلا وجه لاعتبار استصحاب العدم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العدم انتقض بالوجود المُطلق، و قد حكم عليه بالاستمرار بمقتضى أدلّة الاستصحاب، فلا يجري استصحاب العدم، و إن اخذ قيداً للحكم أو المُتعلّق فلا يجري إلّا استصحاب العدم؛ لأنَّ انتقاض عدم الوجود المُقيّد لا يستلزم انتقاض المُطلق، و الأصل عدم الانتقاض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الإنصاف عدم ورود هذا الإشكال عليه؛ لأنَّ فرض قيديّة الزمان للجلوس أو الحكم غير مذكور في كلامه، و لا يكون دخيلًا في مدّعاه؛ لأنَّ دعواه تعارض استصحاب الوجود بالعدم دائماً، لا جريان استصحاب الوجود دائماً، حتّى يرد عليه أنَّه قد لا يجري استصحاب الوجود، و ذلك فيما إذا اخذ الزمان قيداً، و هذا نظير ادّعاء أنَّ استصحاب المُسبّبي محكوم لاستصحاب السببيّ دائماً؛ فإنَّ المُدّعى ليس جريان الاستصحابين دائماً، بل المُدّعى أنَّه على فرض الجريان يكون أحدهما محكوماً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منظوره عدم جواز التمسّك بالاستصحاب لإثبات الأحكام؛ لأنَّه على فرض جريانه معارض باستصحاب العدم الأزليّ الثابت لعنوان مقيّد بالزمان المُتأخّر عن ظرف الحكم، ففرض عدم جريان استصحاب الوجوديّ غير مُنافٍ لدعواه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فرض ظرفيّة الزمان، فجريان استصحاب العدم الأزلي للعنوان المُتقيّد ممّا لا مانع منه؛ لأنَّ الموضوع المُتقيّد غير الموضوع الغير المُتقيّد، فلا يكون ثبوت الوجوب للجلوس نقضاً لعدم وجوب الجلوس المُتقيّد بما بعد الزوال؛ لإمكان أن يكون نفس الجلوس واجباً، و الجلوس المُتقيّد غير واجب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الجلوس بنحو الإطلاق غير الجلوس المُتقيّد بالزمان، فلا يكون الحكم المُتعلّق نقضاً للمُقيّد بما أنَّه مُقيّد</w:t>
      </w:r>
      <w:r>
        <w:rPr>
          <w:rFonts w:eastAsia="Amiri" w:cs="Amiri" w:ascii="Amiri" w:hAnsi="Amiri"/>
          <w:color w:val="111111"/>
          <w:sz w:val="28"/>
          <w:szCs w:val="28"/>
          <w:rtl w:val="true"/>
          <w:lang w:bidi="ar-SA"/>
        </w:rPr>
        <w:t>.</w:t>
      </w:r>
      <w:bookmarkStart w:id="205" w:name="pg2245_12748"/>
    </w:p>
    <w:p>
      <w:pPr>
        <w:pStyle w:val="BookText"/>
        <w:rPr/>
      </w:pPr>
      <w:bookmarkEnd w:id="205"/>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المفروض تسليم حكم الشارع بأنَّ المُتيقّن في زمان لا بدّ من إبقائه، و جَعَلَ هذا الحكم دافعاً لاستصحاب العدم الأزليّ </w:t>
      </w:r>
      <w:r>
        <w:rPr>
          <w:rStyle w:val="FootnoteAnchor"/>
          <w:rtl w:val="true"/>
        </w:rPr>
        <w:footnoteReference w:id="257"/>
      </w:r>
      <w:r>
        <w:rPr>
          <w:rFonts w:ascii="Amiri" w:hAnsi="Amiri" w:eastAsia="Amiri" w:cs="Amiri"/>
          <w:color w:val="111111"/>
          <w:sz w:val="28"/>
          <w:sz w:val="28"/>
          <w:szCs w:val="28"/>
          <w:rtl w:val="true"/>
          <w:lang w:bidi="ar-SA"/>
        </w:rPr>
        <w:t>فهو غريب؛ لأنَّ هذا بيان الاستصحاب الوجودي المُعارض باستصحاب العدم الأزليّ، فالتسليم بجريان استصحاب الوجوديّ لا يوجب الحكم بتقدّمه على 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منظوره حكومة الاستصحاب الوجودي على العدميّ، لكنّه خلاف ظاهر كلامه؛ لأنَّ الحكومة إنّما هي بعد فرض جريان المحكوم في نفسه، و هو يدّعي عدم اتصال زمان الشكّ باليقين في 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 أنَّه على فرض انتقاض العدم لا يجري الاستصحاب و لو مع عدم تسليم حكم الشارع بأنَّ المُتيقّن في زمان لا بدّ من إبقائه، فكلامه لا يخلو من خلل، بل تناقض</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614031_3804643083"/>
      <w:bookmarkStart w:id="207" w:name="_Toc76"/>
      <w:bookmarkEnd w:id="206"/>
      <w:r>
        <w:rPr>
          <w:rtl w:val="true"/>
        </w:rPr>
        <w:t>جواب المُحقّق الخراسانيّ و ردّه</w:t>
      </w:r>
      <w:bookmarkEnd w:id="20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رحمه اللَّه، و حاصله بتوضيح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الاستصحاب لا يمكن أن تعمّ هذين الاستصحابين؛ لأنَّ الجمع بين لحاظ الزمان قيداً و ظرفاً ممّا لا يمكن؛ لكمال التنافي بينهما، فلا يكون هناك إلّا استصحاب واحد، و هو استصحاب الثبوت فيما إذا اخذ الزمان ظرفاً، و استصحاب العدم فيما إذا اخذ قيداً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دليل الاستصحاب يشملهما من غير لزوم الجمع بين اللّحاظين؛ لأنَّ معنى الإطلاق ليس لحاظ الحالات الطارئة و الحيثيّات العارضة، و الحكم عليها، و إلّا يرجع إلى العموم، بل معناه جعل الماهيّة تمام الموضوع للحكم من غير تقييده</w:t>
      </w:r>
      <w:bookmarkStart w:id="208" w:name="pg2245_12749"/>
    </w:p>
    <w:p>
      <w:pPr>
        <w:pStyle w:val="BookText"/>
        <w:rPr/>
      </w:pPr>
      <w:bookmarkEnd w:id="208"/>
      <w:r>
        <w:rPr>
          <w:rFonts w:ascii="Amiri" w:hAnsi="Amiri" w:eastAsia="Amiri" w:cs="Amiri"/>
          <w:color w:val="111111"/>
          <w:sz w:val="28"/>
          <w:sz w:val="28"/>
          <w:szCs w:val="28"/>
          <w:rtl w:val="true"/>
          <w:lang w:bidi="ar-SA"/>
        </w:rPr>
        <w:t>بشي‌ء، فينطبق قهراً على الكثرات من غير لحاظها بوجه،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مُطلق؛ معناه أنَّ البيع تمام الموضوع للحلّية و النفوذ، و لا تكون حيثيّة اخرى و قيد آخر دخيلين في حلّيته، فإذا كان البيع تمام الموضوع، فكلّما تحقّق مع أيّة حيثيّة أو قيد يكون موضوعاً للحلّ بما أنَّه بيع، و من غير دخالة قيد و لا لحاظه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مُطلقاً بهذا المعنى؛ أي يكون اليقين و الشكّ تمام الموضوع للحكم بعدم الانتقاض، من غير لحاظ خصوصيّة معهما، فهو بوحدته يشمل جميع الاستصحابات بما أنّها عدم نقض اليقين بالشكّ، و كذا إطلاق المادّة عبارة عن كون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ملحوظاً من غير لحاظ أمرٍ آخر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لو فرض لزوم الجمع بين اللّحاظين في دليل الاستصحاب لا بدّ و أن لا يشمل إلّا واحداً منهما دائماً، لا أنَّه على فرض النظر فيه يشمل أحدهما، و على فرض القيديّة يشمل الآخر، إلّا أن يكون مُراده ذلك بتأويل في ظاهر كلامه؛ بإرجاع القيديّة أو الظرفيّة إلى أدلّة الاستصحاب، و هو كما ترى و الحقّ عدم ورود هذا الإشكال عليه رأساً</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614033_3804643083"/>
      <w:bookmarkStart w:id="210" w:name="_Toc77"/>
      <w:bookmarkEnd w:id="209"/>
      <w:r>
        <w:rPr>
          <w:rtl w:val="true"/>
        </w:rPr>
        <w:t>جواب المحقّق النائينيّ و الإشكال عليه</w:t>
      </w:r>
      <w:bookmarkEnd w:id="21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تقريرات بعض أعاظم العصر رحمه اللَّه، من عدم جريان استصحاب العدم الأزليّ مُطلقاً، و لو لم يجر استصحاب الوجود؛ لأنَّ العدم الأزليّ هو العدم المُطلق، و انتقاضه إنّما يكون بحدوث الحادث، و إذا ارتفع بعد الحدوث لم يكن العدم الثاني هو العدم الأزليّ، و العدم المُقيّد بقيد خاصّ من الزمان أو الزمانيّ</w:t>
      </w:r>
    </w:p>
    <w:p>
      <w:pPr>
        <w:pStyle w:val="BookText"/>
        <w:rPr/>
      </w:pPr>
      <w:r>
        <w:rPr>
          <w:rFonts w:ascii="Amiri" w:hAnsi="Amiri" w:eastAsia="Amiri" w:cs="Amiri"/>
          <w:color w:val="111111"/>
          <w:sz w:val="28"/>
          <w:sz w:val="28"/>
          <w:szCs w:val="28"/>
          <w:rtl w:val="true"/>
          <w:lang w:bidi="ar-SA"/>
        </w:rPr>
        <w:t>مُتقوّم بوجود القيد، و لا يعقل تقدّمه على 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وجب الجلوس إلى الزوال فالعدم الأزليّ انتقض إلى الوجود قطعاً، فإذا فرض ارتفاع الوجوب بعد الزوال لأخذه قيداً، فعدم الوجوب بعد الزوال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العدم الأزليّ؛ لكونه مُقيّداً بما بعد الزوال، و العدم المُقيّد غير العدم المُطلق 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فالمُستصحب بعد الزوال ليس هو العدم المُطلق، بل هو العدم المُقيّد بما بعد الزوال، و هو مُتقوّم بما بعد الزوال، فلا يمكن استصحابه إلّا إذا آن بعد الزوال، و لم يثبت الوجود، ففي الآن الثاني يستصحب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غير ذلك؛ لأنَّ آن بعد الزوال يكون العدم مشكوكاً فيه، فالعدم الأزلي المطلق قد انتقض بالوجوب قبل الزوال، و العدم المُقيّد لم يكن قبل الزوال مُتحقّقاً إلّا بنحو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استصحاب عدم جعل الوجوب للموضوع المُقيّد؛ لأنَّ الجعل و اللّاجعل أزليّان، فإذا جعل الزمان قيداً يختصّ كل من الجلوس قبل الزوال و بعده بجعل خاصّ، فيُستصحب عدم جعل الوجوب للجلوس بعد الزوال، لكن عدم الجعل ليس له أثر إلّا بلحاظ المجعول، و إثبات عدم المجعول بعدم الجعل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استصحاب البراءة الأصليّة 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حال العقل</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يجري مُطلقاً؛ لأنَّ العدم الأصليّ عبارة عن اللّاحكمية و اللّاحرجية، و هذا المعنى بعد وجود المُكلّف و اجتماع الشروط فيه قد انتقض قطعاً و لو إلى الإباحة؛ لأنَّ اللّاحرجية في الإباحة بعد اجتماع شرائط التكليف غير اللّاحرجية قبل وجود المُكلّف، إذ الأوّل مستند إلى الشارع دون الثاني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العدم الأزلي و إن كان هو العدم المُطلق الغير المسبوق بالوجود، لكنّه يلاحظ بالنسبة إلى كلّ عنوان مُستقلّاً، فوجوب الجلوس المُطلق عدمه الأزليّ هو عدم وجوب الجلوس المُطلق، و وجوب الجلوس المُقيّد بما بعد الزوال عدمه الأزليّ هو عدم وجوب هذا المُقيّد، كما أنَّ العدم الأزلي للإنسان، هو عدم الإنسان من غير تقيّد بكونه في زمان كذا أو مكان كذا، و العدم الأزليّ للإنسان العالم هو عدم هذا العنوان من غير تقييد بالقيود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فوجوب الجلوس بعد الزوال عدمه الأزليّ بعدم هذا الوجوب المُتعلّق بالموضوع المُقيّد بما بعد الزوال، و هذا العدم عدم مطلق للوجوب المُقيّد إذا كان بعد الزوال قيداً للهيئة، و للوجوب المُتعلّق بالموضوع المُقيّد إذا كان قيداً للمادّة، و لا يكون هذا العدم مُنتقضاً؛ ضرورة انَّ انتقاضه إنّما يكون بوجوب الجلوس بعد الزوال، لا بوجوب الجلوس المُطلق؛ بحيث يكون الجلوس تمام الموضوع للوجوب من غير تقيّده بقيد، و لا بوجوب الجلوس قبل الزوال، و معلوم أنَّ عدم وجوب الجلوس المُتقيّد بما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القيد للوجوب أو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الانتقاض، فلا مانع من جريان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كرّره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العدم المُتقيّد بقيد كونه بعد الزوال ليس له تحقّق قبل الزوال، فغير مرتبط بكلام الفاضل النراقيّ؛ ضرورة أنَّ العدم ليس مُتقيّداً بكونه بعد الزوال، بل العدم مُطلق، و الوجوب أو الجلوس مُقيّد، و الفرق بينهما أظهر من أن يخفى، و الظاهر أنَّ منشأ اشتباهه هو هذا الخلط، و بعد ذلك نسج على منواله ما نسج</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الجعل المُتعلّق بوجوب الجلوس قبل الزوال غير الجعل المُتعلّق بالوجوب بعد الزوال؛ لأنَّه بناءً على القيديّة يحتاج وجوب الجلوس بعد الزوال إلى جعل آخر مُغاير لجعل الوجوب قبل الزوال، و حيث إنَّه يشكّ في جعله بعده</w:t>
      </w:r>
      <w:bookmarkStart w:id="211" w:name="pg2245_12752"/>
    </w:p>
    <w:p>
      <w:pPr>
        <w:pStyle w:val="BookText"/>
        <w:rPr/>
      </w:pPr>
      <w:bookmarkEnd w:id="211"/>
      <w:r>
        <w:rPr>
          <w:rFonts w:ascii="Amiri" w:hAnsi="Amiri" w:eastAsia="Amiri" w:cs="Amiri"/>
          <w:color w:val="111111"/>
          <w:sz w:val="28"/>
          <w:sz w:val="28"/>
          <w:szCs w:val="28"/>
          <w:rtl w:val="true"/>
          <w:lang w:bidi="ar-SA"/>
        </w:rPr>
        <w:t>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استقلال المجعول أيضاً؛ لأنَّه تابع للجعل في الوحدة و الكثرة و الاستقلال و عدمه، فحينئذٍ كما يُستصحب عدم جعل الوجوب بعد الزوال، يُستصحب عدم وجوب الجلوس بعده، فلا وجه للتفكيك بين الجعل و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إنكاره استصحاب عدم الوجوب الأزليّ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البراءة الأصليّة عبارة عن اللّاحكمية و اللّاحرجية، و هذا المعنى قد انتقض قطعاً و لو إلى الإباحة، ليس بشي‌ء؛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جواز استصحاب عدم الوجوب قبل البلوغ، و مضافاً إلى عدم العلم بانتقاض اللّاوجوب الأزليّ إلى الوجوب، و لو سلّم انتقاض عدم الحكم إلى الحكم؛ لعدم المُنافاة بين انتقاض عدم الحكم بالحكم، و بين عدم انتقاض اللّاوجوب إلى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نمنع انتقاض اللّاحرجيّة و اللّاحكمية إلى الحكم في كلّ موضوع من الموضوعات؛ لأنَّ بعض الموضوعات التي لا اقتضاء فيها لشي‌ءٍ من الأحكام لا بدّ و أن يبقى على اللّاحرجية و اللّاحكمية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أن يكون لكلّ موضوع اقتضاء و لو للإباحة، و عدم الاقتضاء للأحكام الأربعة لا يستلزم اقتضاء الإباحة، فيمكن أن يكون موضوع خالياً من مُطلق الاقتضاء، فيبقى على اللّاحكمية الأزليّة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القطع بانتقاض اللّاحكمية و اللّاحرجية إلى الحكم و الحرج في غير محلّها، بل دعوى القطع بخلافها ليست ببعيدة</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614035_3804643083"/>
      <w:bookmarkStart w:id="213" w:name="_Toc78"/>
      <w:bookmarkEnd w:id="212"/>
      <w:r>
        <w:rPr>
          <w:rtl w:val="true"/>
        </w:rPr>
        <w:t>جواب شيخنا العلّامة و ما فيه</w:t>
      </w:r>
      <w:bookmarkEnd w:id="21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شيخنا العلّامة أعلى اللَّه مقامه في مجلس بحثه، من أنَّ الاستصحاب الوُجوديّ حاكم على استصحاب العدم الأزليّ؛ لأنَّ الشكّ في المُقيّد ناش</w:t>
      </w:r>
    </w:p>
    <w:p>
      <w:pPr>
        <w:pStyle w:val="BookText"/>
        <w:rPr/>
      </w:pPr>
      <w:r>
        <w:rPr>
          <w:rFonts w:ascii="Amiri" w:hAnsi="Amiri" w:eastAsia="Amiri" w:cs="Amiri"/>
          <w:color w:val="111111"/>
          <w:sz w:val="28"/>
          <w:sz w:val="28"/>
          <w:szCs w:val="28"/>
          <w:rtl w:val="true"/>
          <w:lang w:bidi="ar-SA"/>
        </w:rPr>
        <w:t xml:space="preserve">عن بقاء الوجوب السابق، و أصالة بقائه ترفع شكّه، و أمّا أصالة عدم الوجوب للموضوع المقيّد فمضادّة لحكم الأصل الوجوديّ و رافعيّته له؛ للتضادّ الواقع بينهما، لا لرافعيّته لشكّه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الشكّ في وجوب الجلوس المُتقيّد بما بعد الزوال ليس منشؤه الشكّ في بقاء وجوب الجلوس الثابت قبله، بل منشؤه إمّا الشكّ في أن الوجوب المجعول هل هو ثابت لمُطلق الجلوس، أو للجلوس قبل الزوال، فليس شكّه ناشئاً عن البقاء، بل عن كيفيّة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الشكّ في جعل وجوب مُستقلّ للموضوع المُتقيّد بما بعد الزوال، فلا يكون استصحاب وجوب الجلوس رافعاً لشكّه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شرط حكومة الأصل السببيّ على المُسبّبي، أن يكون جريان الأصل الحاكم موجباً لرفع الشكّ عن المُسبّب تعبّداً؛ بمعنى أن يكون المُستصحب في الأصل المُسبّبي من الآثار الشرعيّة المُترتّبة على المُستصحب في الأصل السببيّ، كاستصحاب كرّية الماء الحاكم على استصحاب نجاسة الثوب المغسول به، و أمّا لو كان الشكّ مُسبّباً و لم يكن كذلك، فلا يكون الأصل حاكماً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ترى أنَّ الشكّ في نبات لحية زيد مُسبّب عن الشكّ في حياته، و لكنّ استصحاب الحياة ليس حاكماً على استصحاب عدم نباتها، و ما نحن فيه من هذا القبيل، فاستصحاب وجوب الجلوس إلى بعد الزوال لا يثبت كون الجلوس المُتقيّد بما بعد الزوال واجباً إلّا بالأصل المُثبت، بل حاله أسوأ من الأصل المُثبت كما يظهر بالتأمّل</w:t>
      </w:r>
      <w:r>
        <w:rPr>
          <w:rFonts w:eastAsia="Amiri" w:cs="Amiri" w:ascii="Amiri" w:hAnsi="Amiri"/>
          <w:color w:val="111111"/>
          <w:sz w:val="28"/>
          <w:szCs w:val="28"/>
          <w:rtl w:val="true"/>
          <w:lang w:bidi="ar-SA"/>
        </w:rPr>
        <w:t>.</w:t>
      </w:r>
      <w:bookmarkStart w:id="214" w:name="pg2245_12754"/>
    </w:p>
    <w:p>
      <w:pPr>
        <w:pStyle w:val="Heading4"/>
        <w:numPr>
          <w:ilvl w:val="3"/>
          <w:numId w:val="1"/>
        </w:numPr>
        <w:rPr/>
      </w:pPr>
      <w:bookmarkStart w:id="215" w:name="__RefHeading___Toc1614037_3804643083"/>
      <w:bookmarkStart w:id="216" w:name="_Toc79"/>
      <w:bookmarkEnd w:id="214"/>
      <w:bookmarkEnd w:id="215"/>
      <w:r>
        <w:rPr>
          <w:rtl w:val="true"/>
        </w:rPr>
        <w:t>الجواب عن الشبهة</w:t>
      </w:r>
      <w:bookmarkEnd w:id="216"/>
    </w:p>
    <w:p>
      <w:pPr>
        <w:pStyle w:val="BookText"/>
        <w:rPr/>
      </w:pPr>
      <w:r>
        <w:rPr>
          <w:rFonts w:ascii="Amiri" w:hAnsi="Amiri" w:eastAsia="Amiri" w:cs="Amiri"/>
          <w:color w:val="111111"/>
          <w:sz w:val="28"/>
          <w:sz w:val="28"/>
          <w:szCs w:val="28"/>
          <w:rtl w:val="true"/>
          <w:lang w:bidi="ar-SA"/>
        </w:rPr>
        <w:t>هذا و التحقيق في الجواب عن الإشكال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فرض معارضة الاستصحاب الوجوديّ و العدميّ يلزمه عدم المعارضة بينهما؛ لأنَّ المعارضة بين الأصلين إنّما تتحقّق إذا كان موضوع حكمهما واحداً، و يكون أحد الأصلين يقتضي حكماً مُنافياً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المعارضة بالعرض كما في أطراف العلم الإجماليّ، لكنّ منظورنا في المقام هو المعارضة بالذات، و لا بدّ فيها من وحدة الموضوع، بل سائر الوحدات التي تتوقّف عليها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الوجوديّ و العدميّ إمّا أن يكون موضوعهما واحداً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المعارضة بينهما لو فرض جريانهما، لكنّ فرض وحدة الموضوع مُوجب لسقوط أحدهما؛ لأنَّ الموضوع إمّا نفس الجلوس، فلا يجري الاستصحاب العدمي؛ لأنَّ عدم وجوب الجُلوس انتقض بوجوبه الثابت له قبل الزوال، فلا يكون بين الشكّ و اليقين اتّصال، و إمّا الجلوس المُتقيّد ببعد الزوال فلا يجري الاستصحاب الوجوديّ؛ لعدم اليقين بوجوب الجلوس المُتقيّد بما بعد الزوال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مفاد أحد الأصلين ثبوت الوجوب لنفس الجلوس، و مفاد الآخر عدم وجوب الجلوس المُتقيّد بما بعد الزوال، فلا منافاة بينهما؛ لإمكان حصول القطع بأنَّ الجلوس بعد الزوال واجب بما أنَّه جلوس، أي يكون نفس الجُلوس تمام الموضوع للوجوب، و الجُلوس المُتقيّد بما بعد الزوال غير واجب؛ بحيث يكون الجلوس بعض الموضوع، و بعضه الآخر تقيّده بكونه بعد الزوال</w:t>
      </w:r>
      <w:r>
        <w:rPr>
          <w:rFonts w:eastAsia="Amiri" w:cs="Amiri" w:ascii="Amiri" w:hAnsi="Amiri"/>
          <w:color w:val="111111"/>
          <w:sz w:val="28"/>
          <w:szCs w:val="28"/>
          <w:rtl w:val="true"/>
          <w:lang w:bidi="ar-SA"/>
        </w:rPr>
        <w:t>.</w:t>
      </w:r>
      <w:bookmarkStart w:id="217" w:name="pg2245_12755"/>
    </w:p>
    <w:p>
      <w:pPr>
        <w:pStyle w:val="BookText"/>
        <w:rPr/>
      </w:pPr>
      <w:bookmarkEnd w:id="217"/>
      <w:r>
        <w:rPr>
          <w:rFonts w:ascii="Amiri" w:hAnsi="Amiri" w:eastAsia="Amiri" w:cs="Amiri"/>
          <w:color w:val="111111"/>
          <w:sz w:val="28"/>
          <w:sz w:val="28"/>
          <w:szCs w:val="28"/>
          <w:rtl w:val="true"/>
          <w:lang w:bidi="ar-SA"/>
        </w:rPr>
        <w:t>كما أنَّ الإنسان بما أنَّه إنسان ناطق، لا بما أنَّه ماش مُستقيم القامة،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ليس بناطق من حيث كونه ماشياً مُستقيم القامة، بل بما أنَّه إنسان، و فيما نحن فيه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الجلوس بعد الزوال واجب بما أنَّه جلوس، و ليس بواجب بما أنَّه مُتقيّد بما بعد الزوال، و يرجع ذلك إلى أنَّ الجُلوس تمام الموضوع لا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إذا كان واجباً يقتضي إطلاقه وجوب الجلوس في جميع الحالات، و منها الجُلوس بعد الزوال، فيصير معارضاً لعدم وجوب الجُلوس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إطلاقه أنَّ الجلوس بعد الزوال بما أنَّه جُلوس بعد الزوال واجب، بل معناه أنَّ الجُلوس بعد الزوال واجب بما أنَّه جُلوس، فلا منافاة بين وجوب الجُلوس بعد الزوال بما أنَّه جُلوس، و عدم وجوبه بما أنَّه مُتقيّد كما هو واضح، و لقد أشار إلى بعض ما ذكرنا شيخنا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درره</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فليكن ما ذكرنا تقريراً و توضيحاً لما أفاده</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614039_3804643083"/>
      <w:bookmarkStart w:id="219" w:name="_Toc80"/>
      <w:bookmarkEnd w:id="218"/>
      <w:r>
        <w:rPr>
          <w:rtl w:val="true"/>
        </w:rPr>
        <w:t>التنبيه الرابع الاستصحاب التعليقيّ</w:t>
      </w:r>
      <w:bookmarkEnd w:id="219"/>
    </w:p>
    <w:p>
      <w:pPr>
        <w:pStyle w:val="Heading4"/>
        <w:numPr>
          <w:ilvl w:val="3"/>
          <w:numId w:val="1"/>
        </w:numPr>
        <w:rPr/>
      </w:pPr>
      <w:bookmarkStart w:id="220" w:name="__RefHeading___Toc1614041_3804643083"/>
      <w:bookmarkStart w:id="221" w:name="_Toc81"/>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هل يجري الاستصحاب التعليقيّ مُطلقاً، أو لا يجري كذلك، أو يفصّل بين التعليق في الحكم و الموضوع، أو بين ما كان التعليق شرعيّاً و غيره؟</w:t>
      </w:r>
    </w:p>
    <w:p>
      <w:pPr>
        <w:pStyle w:val="BookText"/>
        <w:rPr/>
      </w:pPr>
      <w:r>
        <w:rPr>
          <w:rFonts w:ascii="Amiri" w:hAnsi="Amiri" w:eastAsia="Amiri" w:cs="Amiri"/>
          <w:color w:val="111111"/>
          <w:sz w:val="28"/>
          <w:sz w:val="28"/>
          <w:szCs w:val="28"/>
          <w:rtl w:val="true"/>
          <w:lang w:bidi="ar-SA"/>
        </w:rPr>
        <w:t>وجوه؛ يتّضح الحقّ ببيان امور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محطّ البحث و النقض و الإبرام في الاستصحاب التعليقيّ هو أن تعليقيّة الحكم أو الموضوع هل توجب خللًا في أركان الاستصحاب و شرائط جريانه أم لا؟</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الاستصحاب التعليقيّ مفيداً و منتهياً إلى العمل، أو لا؛ لابتلائه بالمعارضة دائماً؟ فلا بدّ من تمحّض البحث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قضيّة بقاء الموضوع و عدمه، أو إرجاعه القضيّة التعليقيّة إلى القضيّة التنجيزيّة فهي خارجة عن محطّ البحث و مورد النقض و الإبرام، فما أفاده الشيخ الأنصاريّ رحمه اللَّه من استصحاب سببيّة الشرط للمشروط</w:t>
      </w:r>
      <w:r>
        <w:rPr>
          <w:rStyle w:val="FootnoteAnchor"/>
          <w:rtl w:val="true"/>
        </w:rPr>
        <w:footnoteReference w:id="263"/>
      </w:r>
      <w:r>
        <w:rPr>
          <w:rFonts w:ascii="Amiri" w:hAnsi="Amiri" w:eastAsia="Amiri" w:cs="Amiri"/>
          <w:color w:val="111111"/>
          <w:sz w:val="28"/>
          <w:sz w:val="28"/>
          <w:szCs w:val="28"/>
          <w:rtl w:val="true"/>
          <w:lang w:bidi="ar-SA"/>
        </w:rPr>
        <w:t>و إن كان حقّاً على إشكال، و يدفع به الإشكال بوجه، لكنّه خروج عن موضوع البحث، و مع ذلك لا محيص عن التعرّض له تبعاً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التعليقات الواقعة في لسان الشرع و القضايا المشروطة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w:t>
      </w:r>
    </w:p>
    <w:p>
      <w:pPr>
        <w:pStyle w:val="BookText"/>
        <w:rPr/>
      </w:pPr>
      <w:r>
        <w:rPr>
          <w:rStyle w:val="FootnoteAnchor"/>
          <w:rtl w:val="true"/>
        </w:rPr>
        <w:footnoteReference w:id="26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نشّ العصير أو غلى حرم</w:t>
      </w:r>
      <w:r>
        <w:rPr>
          <w:rFonts w:eastAsia="Amiri" w:cs="Amiri" w:ascii="Amiri" w:hAnsi="Amiri"/>
          <w:color w:val="111111"/>
          <w:sz w:val="28"/>
          <w:szCs w:val="28"/>
          <w:rtl w:val="true"/>
          <w:lang w:bidi="ar-SA"/>
        </w:rPr>
        <w:t>)</w:t>
      </w:r>
    </w:p>
    <w:p>
      <w:pPr>
        <w:pStyle w:val="BookText"/>
        <w:rPr/>
      </w:pPr>
      <w:r>
        <w:rPr>
          <w:rStyle w:val="FootnoteAnchor"/>
          <w:rtl w:val="true"/>
        </w:rPr>
        <w:footnoteReference w:id="265"/>
      </w:r>
      <w:r>
        <w:rPr>
          <w:rFonts w:ascii="Amiri" w:hAnsi="Amiri" w:eastAsia="Amiri" w:cs="Amiri"/>
          <w:color w:val="111111"/>
          <w:sz w:val="28"/>
          <w:sz w:val="28"/>
          <w:szCs w:val="28"/>
          <w:rtl w:val="true"/>
          <w:lang w:bidi="ar-SA"/>
        </w:rPr>
        <w:t>تحتمل ثبوتاً 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الحكم مُتعلّقاً بموضوعاتها على تقدير شي‌ءٍ، فيكون المجعول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غلى العصير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حرمته على تقدير الغليان، و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الاعتصام على تقدير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الحكم مُتعلّقاً بموضوع مُتقيّد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فيكون المجعول فيهما هو الحُرمة المُتعلّقة بالعصير المغليّ، و الاعتصام للماء البالغ حدّ الكرّ، فيكون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اخرى عن أنَّ الكرّ لا ينجّسه شي‌ء، فيكون التعبير بذلك تفنّناً في البيان، أو تنبيهاً على أنَّ السّر في نجاسة المغليّ هو غليانه، و في اعتصام الماء هو كرّيته، و على هذا يكون الموضوع مُركّباً من ذات و قيد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سببيّة المُعلّق عليه للمُعلّق، فيكون مفاد القضيّتين أنَّ الغليان سبب</w:t>
      </w:r>
    </w:p>
    <w:p>
      <w:pPr>
        <w:pStyle w:val="BookText"/>
        <w:rPr/>
      </w:pPr>
      <w:r>
        <w:rPr>
          <w:rFonts w:ascii="Amiri" w:hAnsi="Amiri" w:eastAsia="Amiri" w:cs="Amiri"/>
          <w:color w:val="111111"/>
          <w:sz w:val="28"/>
          <w:sz w:val="28"/>
          <w:szCs w:val="28"/>
          <w:rtl w:val="true"/>
          <w:lang w:bidi="ar-SA"/>
        </w:rPr>
        <w:t>للحرمة، و الكرّية للاعتصام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الملازمة بين الكرّية و الاعتصام، و الحرمة و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مُحتمل بحسب مقام الثبوت، أمّا الأوّلان فلا كلام فيهما، و أمّا الأخيران فقد مرّ التحقيق في مثلهما في الأحكام الوضعيّة،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السببيّة و المُلازمة، و أمثالهما قابلة للجعل، و إنَّ المُنكر لإمكانه فيها خلّط بين التكوين و التشريع، و بين السببيّة الحقيقيّة التكوينيّة، و الاعتباريّة القانونيّة فراجع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بحسب مقام الإثبات و الاستظهار من الأدلّة، فهو خارج عمّا نحن بصدده، و الأدلّة مُختلفة بحسب المقامات و مناسبات الأحكام و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قد يكون في كلام الشارع كأمثال ما ذكرنا، و قد لا يكون في كلامه، لكنّ العقل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البالغ حدّ الكرّ لا ينجّسه شي‌ء، و أنَّ العصير المغليّ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العقل بأنَّ الماء إذا بلغ قدر كرّ لا ينجّسه شي‌ء، و أنَّ العصير إذا غلى يحرم، لكن ليس هذا من التعليق الشرعيّ، بل هو تعليق عقليّ يدركه العقل من القضيّة المنجّزة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التعليق العقليّ قد يكون في الأحكام كما عرفت، و قد يكون في الموضوعات، كما يحكم بأنَّ الماء إذا بلغت مساحته ثلاثة أشبار و نصفاً طولًا و عرضاً و عمقاً فهو كرّ، و يحكم على الماء الناقص عن الكرّ بمنّ بأنَّه إذا زيد عليه منّ يصير كرّاً، و هذا تعليق عقليّ في الموضوع، كما أنَّ ما مرَّ تعليق عقليّ في الحكم، و يمكن أن يقع التعليق في الموضوع في كلام الشارع، و يرجع إلى التعبّد بوجود موضوع الحكم على تقدير كذائي، و ترتيب آثاره عليه على فرض تحقّقه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اخذ عنوان في موضوع حُكم يكون ظاهراً في الفعليّة،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w:t>
      </w:r>
    </w:p>
    <w:p>
      <w:pPr>
        <w:pStyle w:val="BookText"/>
        <w:rPr/>
      </w:pPr>
      <w:r>
        <w:rPr>
          <w:rFonts w:ascii="Amiri" w:hAnsi="Amiri" w:eastAsia="Amiri" w:cs="Amiri"/>
          <w:color w:val="111111"/>
          <w:sz w:val="28"/>
          <w:sz w:val="28"/>
          <w:szCs w:val="28"/>
          <w:rtl w:val="true"/>
          <w:lang w:bidi="ar-SA"/>
        </w:rPr>
        <w:t>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المُستطيع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ظاهراً في أنَّ الكرّ الفعليّ مُعتصم، و المُستطيع الفعليّ يجب عليه الحج و هكذا،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يقع الكلام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Style w:val="FootnoteAnchor"/>
          <w:rtl w:val="true"/>
        </w:rPr>
        <w:footnoteReference w:id="267"/>
      </w:r>
      <w:r>
        <w:rPr>
          <w:rFonts w:ascii="Amiri" w:hAnsi="Amiri" w:eastAsia="Amiri" w:cs="Amiri"/>
          <w:color w:val="111111"/>
          <w:sz w:val="28"/>
          <w:sz w:val="28"/>
          <w:szCs w:val="28"/>
          <w:rtl w:val="true"/>
          <w:lang w:bidi="ar-SA"/>
        </w:rPr>
        <w:t>أنَّ الميزان فعليّة اليقين و الشكّ، أو فعليّة المُتيقّن؟ فعلى الأوّل لا ينظر إلى المُتيقّن هل هو مُتحقّق فعلًا أم لا،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الكلام فيه سابقاً؛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النظر إلى أدلّة الاستصحاب، و مُناسبة الحكم و الموضوع، و أنَّ اليقين لإبرامه لا يُنقض بالشكّ؛ لعدم إبرامه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هو نفس اليقين و الشكّ بما أنَّ اليقين طريق و كاشف، فلا يُعتبر فيه إلّا فعليّة الشكّ و اليقين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يكون المُستصحب ممّا يترتّب على التعبّد به أثر عمليّ، فلو فرض أنَّ اليقين بأمر تعليقيّ يترتّب عليه أثر عمليّ لو تعبّد ببقائه لجرى الاستصحاب بلا إشكال؛ لفعليّة الشكّ و اليقين، و عدم اعتبار أمرٍ آخر، سواء كان المُتيقّن وجوديّاً أم لا، و فعليّاً أم لا؛ لعدم الدليل على كونه كذلك، فإذا تعلّق اليقين بقضيّة تعليقيّة، و فرضنا أنَّ بقاءها في زمن الشكّ يكون ذا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فُرض أن نفس القضيّة موضوعة لحكم في زمان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لجرى الاستصحاب فيها بلا إشكال و ريب؛ لفعليّة اليقين و الشكّ، و كون المُتيقّن ذا أثرٍ شرعيّ في زمن الشكّ، أو مُنتهياً إليه، و أمّا لزوم كون المُتيقّن وجوديّاً فعليّاً فلا يُعتبر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ذكرنا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التعليق إذا ورد في دليل شرعيّ كما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العصير العنبيّ إذا غلى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العنب زبيباً، فشكّ في أنَّ عصيره أيضاً يحرم إذا غلى أو لا، فلا إشكال في جريان استصحابه من حيث التعليق؛ لما عرفت من أنَّ المُعتبر</w:t>
      </w:r>
      <w:bookmarkStart w:id="222" w:name="pg2245_12759"/>
    </w:p>
    <w:p>
      <w:pPr>
        <w:pStyle w:val="BookText"/>
        <w:rPr/>
      </w:pPr>
      <w:bookmarkEnd w:id="222"/>
      <w:r>
        <w:rPr>
          <w:rFonts w:ascii="Amiri" w:hAnsi="Amiri" w:eastAsia="Amiri" w:cs="Amiri"/>
          <w:color w:val="111111"/>
          <w:sz w:val="28"/>
          <w:sz w:val="28"/>
          <w:szCs w:val="28"/>
          <w:rtl w:val="true"/>
          <w:lang w:bidi="ar-SA"/>
        </w:rPr>
        <w:t>في الاستصحاب ليس إلّا اليقين و الشكّ الفعليّين، و كون المشكوك فيه ذا أثر شرعيّ، أو مُنتهياً إليه، و كلا الشرطين حاصلان، أمّا فعليّتهما فواضحة، و أمّا الأثر الشرعيّ؛ فلأنَّ التعبّد بهذه القضيّة التعليقيّة أثره فعليّة الحكم لدى حصول المُعلّق عليه، من غير شبهة المُثبتية؛ لأنَّ التعليق إذا كان شرعيّاً معناه التعبّد بفعليّة الحكم لدى تحقّق المُعلّق عليه، و إذا كان الترتّب بين الحكم و المُعلّق عليه شرعيّاً لا ترد شبهة المُثبتيّة، فتحقّق الغليان وجداناً بمنزلة تحقّق موضوع الحكم الشرعيّ وجداناً</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614043_3804643083"/>
      <w:bookmarkStart w:id="224" w:name="_Toc82"/>
      <w:bookmarkEnd w:id="223"/>
      <w:r>
        <w:rPr>
          <w:rtl w:val="true"/>
        </w:rPr>
        <w:t>كلام بعض الأعاظم و ما فيه</w:t>
      </w:r>
      <w:bookmarkEnd w:id="224"/>
    </w:p>
    <w:p>
      <w:pPr>
        <w:pStyle w:val="BookText"/>
        <w:rPr/>
      </w:pPr>
      <w:r>
        <w:rPr>
          <w:rFonts w:ascii="Amiri" w:hAnsi="Amiri" w:eastAsia="Amiri" w:cs="Amiri"/>
          <w:color w:val="111111"/>
          <w:sz w:val="28"/>
          <w:sz w:val="28"/>
          <w:szCs w:val="28"/>
          <w:rtl w:val="true"/>
          <w:lang w:bidi="ar-SA"/>
        </w:rPr>
        <w:t>و العجب من بعض أعاظم العصر، حيث فسّر الاستصحاب التعليقيّ بما إذا تعلّق الحكم على موضوع مُركّب من جزءين عند فرض وجود أحد جزأيه، و تبدّلت بعض حالاته قبل فرض وجود الجزء الآخر، ثمّ ناقض كلامه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أوضح، ثمّ نسج على هذا المنوال، و أورد على الاستصحاب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المُترتّب على الموضوع المُركّب إنّما يكون وجوده و تقرّره بوجود الموضوع بما له من الأجزاء و الشرائط؛ لأنَّ نسبة الموضوع إلى الحكم نسبة العلّة إلى المعلول، و لا يعقل تقدّم الحكم على الموضوع، فلا معنى لاستصحاب ما لا يكون موجوداً و مُقرّراً؛ لأنَّ في الاستصحاب الوجوديّ لا بدّ من وجود المُستصحب، إذ لا يُعقل التعبّد ببقاء وجود ما لا وجود 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بأنَّه ليس للجزء الموجود من المُركّب أثر إلّا إذا انضم إليه الجزء الآخر، فليس للعصير العنبيّ أثر إلّا إذا انضمّ إليه الغليان، و هذا ممّا لا شكّ فيه، فلا معنى لاستصحابه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القضيّة التعليقيّة عقليّة؛ لأنّها لازم جعل الحكم على الموضوع المُركّب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هو مورد النقض و الإبرام بين الأعلام في الاستصحاب التعليقيّ هو ما إذا وردت قضيّة شرعيّة تعليقيّة،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 إذا نشّ و غلى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العصير العنبيّ، ثمّ شكّ في بقاء الحكم عند عروض حالة على الموضوع، كصيرورة العنب زبيباً، لا فيما إذا كان الحكم مُتعلّقاً بموضوع مُركّب، و كان التعليق من حكم العقل، و الفرق بينهما أظهر من الشمس؛ لأنَّ الترتّب بين المُعلّق و المُعلّق عليه في الاولى شرعيّ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تنحلّ الشبهة الثالثة؛ لأنَّ الترتّب بينهما إذا كان شرعيّاً لا يكون الأصل مُثبتاً، و توهّم رجوع القضيّة التعليقيّة إلى التنجيزيّة لبّاً، و رجوع الشرط إلى قيديّة الموضوع </w:t>
      </w:r>
      <w:r>
        <w:rPr>
          <w:rStyle w:val="FootnoteAnchor"/>
          <w:rtl w:val="true"/>
        </w:rPr>
        <w:footnoteReference w:id="270"/>
      </w:r>
      <w:r>
        <w:rPr>
          <w:rFonts w:ascii="Amiri" w:hAnsi="Amiri" w:eastAsia="Amiri" w:cs="Amiri"/>
          <w:color w:val="111111"/>
          <w:sz w:val="28"/>
          <w:sz w:val="28"/>
          <w:szCs w:val="28"/>
          <w:rtl w:val="true"/>
          <w:lang w:bidi="ar-SA"/>
        </w:rPr>
        <w:t>فاسد إن اريد الرجوع عرفاً؛ ضرورة أنَّ الموضوع و الحكم في التعليقيّة مُخالف لهما في التنجيزيّة، فإنَّ الموضوع في الأولى نفس الذات، و الشرط واسطة في ثبوت الحكم للموضوع، و الحكم غير فعليّ، فأين إحداهما من الاخرى؟</w:t>
      </w:r>
    </w:p>
    <w:p>
      <w:pPr>
        <w:pStyle w:val="BookText"/>
        <w:rPr/>
      </w:pPr>
      <w:r>
        <w:rPr>
          <w:rFonts w:ascii="Amiri" w:hAnsi="Amiri" w:eastAsia="Amiri" w:cs="Amiri"/>
          <w:color w:val="111111"/>
          <w:sz w:val="28"/>
          <w:sz w:val="28"/>
          <w:szCs w:val="28"/>
          <w:rtl w:val="true"/>
          <w:lang w:bidi="ar-SA"/>
        </w:rPr>
        <w:t>و إن اريد الرجوع عقلًا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تسليمه حتّى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بعد كون الميزان في مثل المقام هو النظر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أنَّ الحكم المُترتّب على الموضوع المُركّب لا وجود له إلّا بوجود جميع أجزائه، و لا يُعقل التعبّد بوجود ما لا وجود له، فلا معنى لاستصحابه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المفروض في المقام هو ورود القضيّة التعليقيّة كما عرفت،</w:t>
      </w:r>
    </w:p>
    <w:p>
      <w:pPr>
        <w:pStyle w:val="BookText"/>
        <w:rPr/>
      </w:pPr>
      <w:r>
        <w:rPr>
          <w:rFonts w:ascii="Amiri" w:hAnsi="Amiri" w:eastAsia="Amiri" w:cs="Amiri"/>
          <w:color w:val="111111"/>
          <w:sz w:val="28"/>
          <w:sz w:val="28"/>
          <w:szCs w:val="28"/>
          <w:rtl w:val="true"/>
          <w:lang w:bidi="ar-SA"/>
        </w:rPr>
        <w:t>و الحكم المُعلّق على شي‌ء لا يكون عدماً محضاً؛ ضرورة تعلّق الجعل به، و انَّه مُتعلّق لليقين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المُعتبر في الاستصحاب إلّا فعليّة الشكّ و اليقين، و كون المُتيقّن في زمن الشكّ ذا أثرٍ شرعيّ أو مُنتهياً إليه، فلو فرض تعلّق اليقين على أمرٍ معدوم يكون ذا أثرٍ شرعيّ في زمان الشكّ يجري الاستصحاب فيه بلا إشكال، و المفروض فيما نحن فيه أنَّ اليقين مُتعلّق بقضيّة تعليقيّة شرعيّة، موضوعها العنب، يشكّ في بقائها بعد صيرورته زبيباً، و التعبّد ببقاء هذه القضيّة الشرعيّة يكون أثره الشرعيّ هو حرمة عصيره إذا غلى، بل في مثل المثال حكم شرعيّ تعليقيّ يصير فعليّاً بتحقّق ما 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أنَّه لا اثر للجزء الموجود من المُركّب، إلّا أنَّه لو انضم إليه الجزء الآخر لثبت له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الاستصحاب كون الشي‌ء جزءاً لموضوع مُركّب، فإذا فرض أنَّ العنب المغليّ كان موضوعاً لحكم، و كان العنب قبل غليانه جزءاً للموضوع، و يترتّب عليه الأثر لو انضمّ إليه الغليان، فصار زبيباً فشكّ في بقاء حكمه؛ أي كونه جزءاً للموضوع فيستصحب،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لا شكّ فيه، فلا معنى لاستصحابه </w:t>
      </w:r>
      <w:r>
        <w:rPr>
          <w:rStyle w:val="FootnoteAnchor"/>
          <w:rtl w:val="true"/>
        </w:rPr>
        <w:footnoteReference w:id="271"/>
      </w:r>
      <w:r>
        <w:rPr>
          <w:rFonts w:ascii="Amiri" w:hAnsi="Amiri" w:eastAsia="Amiri" w:cs="Amiri"/>
          <w:color w:val="111111"/>
          <w:sz w:val="28"/>
          <w:sz w:val="28"/>
          <w:szCs w:val="28"/>
          <w:rtl w:val="true"/>
          <w:lang w:bidi="ar-SA"/>
        </w:rPr>
        <w:t>، فلا يخفى ما فيه من الخلط بين العنب و الزبيب فراجع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الاستصحاب التعليقيّ ممّا لا إشكال فيه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أفاده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إجراء أصالة بقاء سببيّة الغليان للحرمة، أو أصالة بقاء المُلازمة بين الغليان و الحرمة</w:t>
      </w:r>
      <w:r>
        <w:rPr>
          <w:rStyle w:val="FootnoteAnchor"/>
          <w:rtl w:val="true"/>
        </w:rPr>
        <w:footnoteReference w:id="272"/>
      </w:r>
      <w:r>
        <w:rPr>
          <w:rFonts w:ascii="Amiri" w:hAnsi="Amiri" w:eastAsia="Amiri" w:cs="Amiri"/>
          <w:color w:val="111111"/>
          <w:sz w:val="28"/>
          <w:sz w:val="28"/>
          <w:szCs w:val="28"/>
          <w:rtl w:val="true"/>
          <w:lang w:bidi="ar-SA"/>
        </w:rPr>
        <w:t>و إن كان خروجاً عن محلّ البحث، لكنّه متين في ذاته لو فُرض استفادة جعل السببيّة الشرعيّة أو المُلازمة الشرعيّة، ليكون الترتّب بين السبب و المُسبّب، و بين أحد المُتلازمين مع الآخر شرعيّاً، و إلّا يصير</w:t>
      </w:r>
    </w:p>
    <w:p>
      <w:pPr>
        <w:pStyle w:val="BookText"/>
        <w:rPr/>
      </w:pPr>
      <w:r>
        <w:rPr>
          <w:rFonts w:ascii="Amiri" w:hAnsi="Amiri" w:eastAsia="Amiri" w:cs="Amiri"/>
          <w:color w:val="111111"/>
          <w:sz w:val="28"/>
          <w:sz w:val="28"/>
          <w:szCs w:val="28"/>
          <w:rtl w:val="true"/>
          <w:lang w:bidi="ar-SA"/>
        </w:rPr>
        <w:t>الأصل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ذلك مُشكل؛ لأنَّ جعل المُلازمة و السببيّة و إن كان شرعيّاً لكن وجود اللّازم و المُسبّب عند وجود صاحبهما عقليّ، فيكون مُثبتاً، و إرجاعهما إلى جعل اللّازم و المُسبّب عقيب صاحبهما إنكار للمبنى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أورد عليه الفاضل المُتقدّم على ما في تقريرات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بأنَّ السببيّة و المُلازمة لا يعقل أن تنالهما يد الجعل، و اخرى بأنَّ المُلازمة بين العنب المغلي و بين نجاسته و حرمته مُلازمة بين تمام الموضوع و الحكم، و الشكّ في بقاء المُلازمة بين تمام الموضوع و الحكم لا يعقل إلّا بالشكّ في نسخ المُلازمة، فيرجع إلى استصحاب عدم النسخ، و هو غير الاستصحاب التعليقيّ </w:t>
      </w:r>
      <w:r>
        <w:rPr>
          <w:rStyle w:val="FootnoteAnchor"/>
          <w:rtl w:val="true"/>
        </w:rPr>
        <w:footnoteReference w:id="273"/>
      </w:r>
      <w:r>
        <w:rPr>
          <w:rFonts w:ascii="Amiri" w:hAnsi="Amiri" w:eastAsia="Amiri" w:cs="Amiri"/>
          <w:color w:val="111111"/>
          <w:sz w:val="28"/>
          <w:sz w:val="28"/>
          <w:szCs w:val="28"/>
          <w:rtl w:val="true"/>
          <w:lang w:bidi="ar-SA"/>
        </w:rPr>
        <w:t>، فغير واردين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في مباحث الأحكام الوضعيّة من أنّهما قابلتان للجعل فراجع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الشكّ ليس في بقاء المُلازمة بين تمام الموضوع و الحكم؛ ضرورة عدم الشكّ في حرمة العصير العنبيّ المغليّ، و إنّما الشكّ في العصير الزبيبيّ، و ليس منشؤه الشكّ في نسخ الحكم الأوّل، بل في أنَّ العنبيّة هل هي واسطة في الثبوت، أو العروض؟</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 أنَّ سببيّة الغليان للحرمة هل هي مجعولة بنحو تدور مدار العنبيّة أم لا؟ و في مثله لا يكون الشكّ في النسخ، و لعمري إنَّ هذا بمكان من الوضوح، تدبّر</w:t>
      </w:r>
      <w:r>
        <w:rPr>
          <w:rFonts w:eastAsia="Amiri" w:cs="Amiri" w:ascii="Amiri" w:hAnsi="Amiri"/>
          <w:color w:val="111111"/>
          <w:sz w:val="28"/>
          <w:szCs w:val="28"/>
          <w:rtl w:val="true"/>
          <w:lang w:bidi="ar-SA"/>
        </w:rPr>
        <w:t>.</w:t>
      </w:r>
      <w:bookmarkStart w:id="225" w:name="pg2245_12764"/>
    </w:p>
    <w:p>
      <w:pPr>
        <w:pStyle w:val="Heading4"/>
        <w:numPr>
          <w:ilvl w:val="3"/>
          <w:numId w:val="1"/>
        </w:numPr>
        <w:rPr/>
      </w:pPr>
      <w:bookmarkStart w:id="226" w:name="__RefHeading___Toc1614045_3804643083"/>
      <w:bookmarkStart w:id="227" w:name="_Toc83"/>
      <w:bookmarkEnd w:id="225"/>
      <w:bookmarkEnd w:id="226"/>
      <w:r>
        <w:rPr>
          <w:rtl w:val="true"/>
        </w:rPr>
        <w:t>تذنيب حال معارضة الاستصحاب التعليقيّ مع التنجيزيّ</w:t>
      </w:r>
      <w:bookmarkEnd w:id="227"/>
    </w:p>
    <w:p>
      <w:pPr>
        <w:pStyle w:val="BookText"/>
        <w:rPr/>
      </w:pPr>
      <w:r>
        <w:rPr>
          <w:rFonts w:ascii="Amiri" w:hAnsi="Amiri" w:eastAsia="Amiri" w:cs="Amiri"/>
          <w:color w:val="111111"/>
          <w:sz w:val="28"/>
          <w:sz w:val="28"/>
          <w:szCs w:val="28"/>
          <w:rtl w:val="true"/>
          <w:lang w:bidi="ar-SA"/>
        </w:rPr>
        <w:t>بناءً على جريان الاستصحاب التعليقيّ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معارض دائماً باستصحاب تنجيزيّ، ففي المثال المُتقدّم بعد عروض الغليان على العصير الزبيبيّ يكون استصحاب الحرمة المُعلّقة على الغليان أثره الحرمة الفعليّة بعد الغليان، و هو معارض باستصحاب الحلّية الثابتة للعصير قبل الغليان، لأنَّه إذا غلى يشكّ في حلّيته و حرمته، فيتعارض الأصلان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عنه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بحكومة الاستصحاب التعليقيّ على الاستصحاب التنجيزي </w:t>
      </w:r>
      <w:r>
        <w:rPr>
          <w:rStyle w:val="FootnoteAnchor"/>
          <w:rtl w:val="true"/>
        </w:rPr>
        <w:footnoteReference w:id="276"/>
      </w:r>
      <w:r>
        <w:rPr>
          <w:rFonts w:ascii="Amiri" w:hAnsi="Amiri" w:eastAsia="Amiri" w:cs="Amiri"/>
          <w:color w:val="111111"/>
          <w:sz w:val="28"/>
          <w:sz w:val="28"/>
          <w:szCs w:val="28"/>
          <w:rtl w:val="true"/>
          <w:lang w:bidi="ar-SA"/>
        </w:rPr>
        <w:t>، و لم يذكر وجهها، و لذا وقع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المُحقّق الخراساني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الإباحة بعد الغليان مُسبّب عن الشكّ في حرمته المُعلّقة قبله، فاستصحاب حرمته كذلك المُستلزم لنفي إباحته بعد الغليان يكون حاكماً على استصحاب الحلّية، و الترتّب و إن كان عقليّاً لكنّ الأثر العقليّ المُترتّب على الأعمّ من الحكم الواقعيّ و الظاهريّ يترتّب على المُستصحب، فيكون استصحاب الحرمة حاكماً عليه بهذه 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الحرمة التعليقيّة تترتّب عليه الحرمة الفعليّة بعد الغليان، و ينفي الإباحة بعده؛ لأنَّ نفي الإباحة لازم عقلي للحكم بالحرمة الفعليّة أعمّ من أن تكون واقعيّة أو ظاهريّة، فيرتفع الشكّ المُسبّبي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فصّل هذا الوجه بعض أعاظم العصر مع تطويل و تفصيل، و تناقض صدر</w:t>
      </w:r>
    </w:p>
    <w:p>
      <w:pPr>
        <w:pStyle w:val="BookText"/>
        <w:rPr/>
      </w:pPr>
      <w:r>
        <w:rPr>
          <w:rFonts w:ascii="Amiri" w:hAnsi="Amiri" w:eastAsia="Amiri" w:cs="Amiri"/>
          <w:color w:val="111111"/>
          <w:sz w:val="28"/>
          <w:sz w:val="28"/>
          <w:szCs w:val="28"/>
          <w:rtl w:val="true"/>
          <w:lang w:bidi="ar-SA"/>
        </w:rPr>
        <w:t xml:space="preserve">و ذيل، و لم يأتِ بشي‌ءٍ زائدٍ عليه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و حاصله بتوضيح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الغليان لمّا كان شرطاً للحرمة فلا بدّ و أن يكون غاية للحلّية، فيكون العصير حراماً بشرط الغليان، و حلالًا إلى أن يغلي، و لا مُنافاة بين الحرمة بعد الغليان و الحلّية المُغيّاة به؛ ضرورة أنَّ ثبوتهما كذلك لو كان قطعيّاً لا يضرّ أحدهما بالآخر، فضلًا عن كونهما مُستصحبين، فإذا شكّ في حرمته المُعلّقة بعد صيرورة العنب زبيباً شكّ في حلّيته المُغيّاة أيضاً، فيكون الشكّ في حلّيته و حرمته فعلًا بعده مُتّحداً خارجاً مع الشكّ في بقائه على ما كان عليه من الحلّية و الحرمة بنحو كانتا عليه؛ أي من كون الحرمة مُعلّقة و الحلّية مُغيّاة، فاستصحاب حرمته المُعلقة الملازم لاستصحاب الحلّية المُغيّاة يثبت حرمته الفعليّة بعد الغليان و انتفاء حلّيته؛ لأنَّ هذا لازم أعمّ للحكم الواقعيّ و الظاهريّ، فيترتّب عليه </w:t>
      </w:r>
      <w:r>
        <w:rPr>
          <w:rStyle w:val="FootnoteAnchor"/>
          <w:rtl w:val="true"/>
        </w:rPr>
        <w:footnoteReference w:id="279"/>
      </w:r>
      <w:r>
        <w:rPr>
          <w:rFonts w:ascii="Amiri" w:hAnsi="Amiri" w:eastAsia="Amiri" w:cs="Amiri"/>
          <w:color w:val="111111"/>
          <w:sz w:val="28"/>
          <w:sz w:val="28"/>
          <w:szCs w:val="28"/>
          <w:rtl w:val="true"/>
          <w:lang w:bidi="ar-SA"/>
        </w:rPr>
        <w:t xml:space="preserve">، و الظاهر أنَّه يرجع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تعبير مُخلّ و تغيير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تتقوّم بأمرين،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الشكّ سببيّاً و مُسبّبياً،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حكم المُسبّب لجريان الأصل في السبب، و كلا الأمرين حاصلان في المقام؛ لأنَّ الشكّ في الحلّية بعد الغليان مُسبّب عن الشكّ في بقاء الحرمة المُعلّقة قبله بعد عروض حالة موجبة للشكّ، و جريان الأصل فيه يثبت الحكم بوجود المُعلّق عليه، و يرفع الحكم المُضادّ له؛ أي الحلّية، لأنَّ جعل الحرمة ظاهريّة كانت أو واقعيّة لازمه استحالة جعل حكم مضادّ 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الحكومة من أنَّ الأصل الجاري في السبب يرفع الشكّ تعبّداً عن المُسبّب؛ أي يكون التعبّد ببقاء السبب أثره الشرعيّ هو التعبّد بحكم المُسبّب، كالتعبّد ببقاء الكرّ؛ حيث إنَّ أثره الشرعيّ طهارة الثوب المغسول به، كما سيأتي تفصيله مع سرّ</w:t>
      </w:r>
    </w:p>
    <w:p>
      <w:pPr>
        <w:pStyle w:val="BookText"/>
        <w:rPr/>
      </w:pPr>
      <w:r>
        <w:rPr>
          <w:rFonts w:ascii="Amiri" w:hAnsi="Amiri" w:eastAsia="Amiri" w:cs="Amiri"/>
          <w:color w:val="111111"/>
          <w:sz w:val="28"/>
          <w:sz w:val="28"/>
          <w:szCs w:val="28"/>
          <w:rtl w:val="true"/>
          <w:lang w:bidi="ar-SA"/>
        </w:rPr>
        <w:t xml:space="preserve">تقدّم الأصل السببيّ على المُسبّبي في محلّه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التعارض أوّلًا و بالذات واقع بين استصحاب نجاسة الثوب و التعبّد بطهارته، لا بين استصحاب النجاسة و بين كرّية الماء؛ لعدم التضادّ بينهما إلّا بلحاظ هذا الأثر الشرعيّ، فجريان استصحاب الكرّية لو لم يكن اثره الشرعيّ هو التعبّد بطهارة الثوب المغسول به لما رفع الشكّ عن المُسبّب، كما أنَّه لو فرض حُجّية الأصل المُثبت يتعارض الأصل المسببيّ مع السببيّ؛ لأنَّ كلًاّ منهما يرفع موضوع الآخر بالتعبد بلازمه، فتقدّم الأصل السببيّ لرفعه الشكّ عن المُسبّب،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فرض أنَّ الأصل الجاري في السبب يكون لازمه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الواقعي و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حكم المُسبّب للتدافع و التضادّ بين الحكمين، فلا وجه لتقدّم أحدهما على الآخر؛ لأنَّ استصحاب الحرمة و التعبّد ببقائها كما أنَّه مضادّ للحلّية، كذلك استصحاب الحلّية و التعبّد ببقائها مضادّ للحرمة بالذات، و للاستصحاب التعليقيّ لأجله، فلا وجه لحكومة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المُعارضة بين بقاء الحلّية المُغيّاة، و الحرمة المشروطة في صورة القطع فضلًا عن استصحابهما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بالحلّية المُغيّاة يوجب القطع بانتفاء الحلّية ما بعد الغاية؛ لأنَّه لازم عقليّ لثبوت الحكم المُغيّا، و أمّا استصحاب الحلّية المُغيّاة فلا يثبت الحرمة بعد الغاية، فاستصحاب الحلّية المُغيّاة ممّا لا يجري؛ لأنَّ إجراءه إن كان لإثبات الحلّية قبل الغليان فهي قطعيّة، و إن كان لإثبات الحرمة و نفي الحلّية بعد الغليان، فلا يثبتهما إلّا بالأصل المُثبت؛ لأنَّ الحرمة بعد الغاية ليست من الآثار الشرعيّة للحلّية المُغيّاة، و لا من اللّوازم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كلامنا إنّما يكون في الحلّية و الحرمة بعد الغليان لا قبله، و في استصحاب الحلّية إلى ما بعد الغليان؛ للشكّ في أنَّ الغاية ثابتة للعصير الزبيبيّ كما هي ثابتة للعنبيّ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شيخنا العلّامة أعلى اللَّه مقامه سلك مسلكاً آخر بعد الإشكال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الأصل السببيّ يتقدّم على الأصل المُسببيّ طبعاً، و هذا وجه آخر لتقدّمه عليه غير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في وجه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الثاني معلول للأوّل، ففي رتبة وجود الأوّل لم يكن الثاني موجوداً، و إنّما هو في رتبة الحكم المُرتّب على الأوّل، فالأوّل في رتبة وجوده ليس له معارض، فيحرز الحكم من دون معارض، و إذا ثبت الحكم في الأوّل لم يبق للثاني موضوع، و جعل هذا وجه تقدّم الاستصحاب التعليقيّ على التنجيزيّ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تقدّم العلّة على المعلول إنّما هو تقدّم عقليّ يدركه العقل من صدور المعلول عن العلّة، فيحكم بأنَّ العلّة وجدت فوجد المعلول، و أمّا في الخارج فالعلّة مع المعلول لا يتقدّم أحدهما على الآخر، و لا إشكال في أنَّ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موضوعه الشكّ بوجوده الخارجيّ، و لا تأثير للتقدّم العقليّ و الرتبيّ في موضوعيّة الموضوع، فلا يتقدّم موضوع أحدهما على الآخر بحسب موضوعيّته للحكم، و هو الوجود الخارجيّ، مع أنَّه لو فرض تقدّم أحدهما على الآخر في الخارج لا يتقدّم في جريان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بالذات إنّما هو بين التعبّد بالأثر الشرعيّ للأصل الحاكم مع مفاد الأصل المحكوم، و هما في رتبة واحدة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نجاسة الثوب المغسول بماء لأجل الشكّ في كرّيته لا يكون بين</w:t>
      </w:r>
      <w:bookmarkStart w:id="228" w:name="pg2245_12771"/>
    </w:p>
    <w:p>
      <w:pPr>
        <w:pStyle w:val="BookText"/>
        <w:rPr/>
      </w:pPr>
      <w:bookmarkEnd w:id="228"/>
      <w:r>
        <w:rPr>
          <w:rFonts w:ascii="Amiri" w:hAnsi="Amiri" w:eastAsia="Amiri" w:cs="Amiri"/>
          <w:color w:val="111111"/>
          <w:sz w:val="28"/>
          <w:sz w:val="28"/>
          <w:szCs w:val="28"/>
          <w:rtl w:val="true"/>
          <w:lang w:bidi="ar-SA"/>
        </w:rPr>
        <w:t>اصالة بقاء الكرّية، و أصالة بقاء نجاسة الثوب تعارض بالذات، بل التعارض إنّما هو بين التعبّد بطهارة الثوب المغسول بالكرّ، و بين التعبّد بنجاسة الثوب، و هما في رتبة واحدة؛ لأنَّ الشكّ في نجاسته و طهارته موضوع لهما، فاستصحاب النجاسة و التعبّد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 عن التعبّد بالكرّية برتبة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متعارضان في 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كرّ، لكن لا يكون مطهّراً للثوب المغسول به، فتترتّب على الكرّية سائر آثارها كعدم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استصحاب الكرّية يعارض استصحاب بقاء نجاسة الثوب بلحاظ أثره و هو طهارة المغسول به، يصير التعارض في رتبة واحدة، فلا تكون أصالة الكرّية بلا معارض، و لو في رتبة ذاتها</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614047_3804643083"/>
      <w:bookmarkStart w:id="230" w:name="_Toc84"/>
      <w:bookmarkEnd w:id="229"/>
      <w:r>
        <w:rPr>
          <w:rtl w:val="true"/>
        </w:rPr>
        <w:t>حكومة الاستصحاب التعليقيّ على التنجيزيّ</w:t>
      </w:r>
      <w:bookmarkEnd w:id="230"/>
    </w:p>
    <w:p>
      <w:pPr>
        <w:pStyle w:val="BookText"/>
        <w:rPr/>
      </w:pPr>
      <w:r>
        <w:rPr>
          <w:rFonts w:ascii="Amiri" w:hAnsi="Amiri" w:eastAsia="Amiri" w:cs="Amiri"/>
          <w:color w:val="111111"/>
          <w:sz w:val="28"/>
          <w:sz w:val="28"/>
          <w:szCs w:val="28"/>
          <w:rtl w:val="true"/>
          <w:lang w:bidi="ar-SA"/>
        </w:rPr>
        <w:t>و التحقيق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الحرمة التعليقيّة حاكم على استصحاب الإباحة كسائر الحكومات؛ لأنَّ شرط حكومة أصل على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 الشكّين مُسبّباً عن الآخر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جريان الأصل في السبب رافعاً للشكّ عن المُسبّب تعبّداً فاستصحاب كرّية الماء يكون حكمه طهارة الثوب المغسول به بحسب الكبرى الشرعيّة،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الكرّ مطهّر</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فيرفع الشكّ في أنَّ الثوب طاهر أو لا؛ لأنَّ الشكّ في</w:t>
      </w:r>
    </w:p>
    <w:p>
      <w:pPr>
        <w:pStyle w:val="BookText"/>
        <w:rPr/>
      </w:pPr>
      <w:r>
        <w:rPr>
          <w:rFonts w:ascii="Amiri" w:hAnsi="Amiri" w:eastAsia="Amiri" w:cs="Amiri"/>
          <w:color w:val="111111"/>
          <w:sz w:val="28"/>
          <w:sz w:val="28"/>
          <w:szCs w:val="28"/>
          <w:rtl w:val="true"/>
          <w:lang w:bidi="ar-SA"/>
        </w:rPr>
        <w:t>الطهارة و النجاسة متقوّم بطرفي الترديد، فإذا وقع التعبّد بالبناء على أحد طرفي الترديد يرفع الشكّ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فحكومة أصالة بقاء الكرّية في الماء على أصالة بقاء نجاسة الثوب ليست لأجل رافعيّة الحكم بالكرّية لبقاء النجاسة؛ بواسطة أن التعبّد بالطهارة و لو ظاهراً ينافي التعبّد بالنجاسة و لو ظاهراً، بل لأجل أنَّ التعبّد بطهارة الثوب المغسول بالماء المشكوك فيه يرفع الشكّ المتقوّم بطرفي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الطهارة و النجاسة شكّ واحد، و حالة ترديديّة واحدة، يكون أحد طرفيها الطهارة، و الآخر النجاسة، فإن قيست هذه الحالة الترديديّة بالنسبة إلى وجود الطهارة و عدمها تكون شكّاً في الطهارة و عدمها، و بالنسبة إلى وجود النجاسة و عدمها تكون شكّاً في النجاسة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قيست بالنسبة إلى الطهارة و النجاسة تكون شكّاً فيهما، فلا تكون في النفس إلّا حالة واحدة ترديديّة، يكون أحد طرفيها الطهارة، و الآخر النجاسة، فإذا كان مفاد أصل هو الطهارة بلسان الأصل السببيّ يكون رافعاً للشكّ المُتقوّم بطرفي الترديد، فيصير حاكماً على الأصل المُسبّبي، و سيأتي قريباً</w:t>
      </w:r>
      <w:r>
        <w:rPr>
          <w:rStyle w:val="FootnoteAnchor"/>
          <w:rtl w:val="true"/>
        </w:rPr>
        <w:footnoteReference w:id="285"/>
      </w:r>
      <w:r>
        <w:rPr>
          <w:rFonts w:ascii="Amiri" w:hAnsi="Amiri" w:eastAsia="Amiri" w:cs="Amiri"/>
          <w:color w:val="111111"/>
          <w:sz w:val="28"/>
          <w:sz w:val="28"/>
          <w:szCs w:val="28"/>
          <w:rtl w:val="true"/>
          <w:lang w:bidi="ar-SA"/>
        </w:rPr>
        <w:t>سرّ تقدّم الأصل السببي بما لا مزيد عليه فانتظر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نحن فيه يكون الحال كذلك؛ لأنَّ الشكّ في بقاء الإباحة الفعليّة للعصير الزبيبيّ المغلي مُسبّب عن بقاء القضيّة الشرعيّة التعليقيّة بالنسبة إلى الزبيب قبل غليانه، و لمّا كان التعليق شرعيّاً تكون فعليّة الحرمة مع فعليّة الغليان بحكم الشرع كما أشرنا إليه سابقاً</w:t>
      </w:r>
      <w:r>
        <w:rPr>
          <w:rStyle w:val="FootnoteAnchor"/>
          <w:rtl w:val="true"/>
        </w:rPr>
        <w:footnoteReference w:id="286"/>
      </w:r>
      <w:r>
        <w:rPr>
          <w:rFonts w:ascii="Amiri" w:hAnsi="Amiri" w:eastAsia="Amiri" w:cs="Amiri"/>
          <w:color w:val="111111"/>
          <w:sz w:val="28"/>
          <w:sz w:val="28"/>
          <w:szCs w:val="28"/>
          <w:rtl w:val="true"/>
          <w:lang w:bidi="ar-SA"/>
        </w:rPr>
        <w:t>، فترتّب الحرمة على العصير المغليّ ليس بعقلي، بل شرعيّ، فحينئذٍ يكون استصحاب الحرمة التعليقيّة حاكماً؛ لأنَّ الحرمة مُتحقّقة بالفعل عند الغليان، و مُترتّبة</w:t>
      </w:r>
    </w:p>
    <w:p>
      <w:pPr>
        <w:pStyle w:val="BookText"/>
        <w:rPr/>
      </w:pPr>
      <w:r>
        <w:rPr>
          <w:rFonts w:ascii="Amiri" w:hAnsi="Amiri" w:eastAsia="Amiri" w:cs="Amiri"/>
          <w:color w:val="111111"/>
          <w:sz w:val="28"/>
          <w:sz w:val="28"/>
          <w:szCs w:val="28"/>
          <w:rtl w:val="true"/>
          <w:lang w:bidi="ar-SA"/>
        </w:rPr>
        <w:t>على الغليان الفعليّ، فيرفع الشكّ في الحرمة و الإباحة الفعليّتين؛ لأنَّ الشكّ في الحرمة و الإباحة مُتقوّم بطرفي الترديد، فإذا كان لسان جريان الأصل في السبب هو التعبّد بحرمة المغلي يرفع الترديد بين الحرمة و الحلّية، فيصير الأصل السببيّ حاكماً على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 بالفرق بين الأصل التعليقيّ السببيّ و التنجيزيّ المُسببيّ، و بين الأصل السببيّ و المسببيّ في موارد اخر</w:t>
      </w:r>
      <w:r>
        <w:rPr>
          <w:rStyle w:val="FootnoteAnchor"/>
          <w:rtl w:val="true"/>
        </w:rPr>
        <w:footnoteReference w:id="287"/>
      </w:r>
      <w:r>
        <w:rPr>
          <w:rFonts w:ascii="Amiri" w:hAnsi="Amiri" w:eastAsia="Amiri" w:cs="Amiri"/>
          <w:color w:val="111111"/>
          <w:sz w:val="28"/>
          <w:sz w:val="28"/>
          <w:szCs w:val="28"/>
          <w:rtl w:val="true"/>
          <w:lang w:bidi="ar-SA"/>
        </w:rPr>
        <w:t>، إن كان من جهة تعليقيّة الأصل، و أنَّ صيرورة التعليق فعليّاً عقليّ فقد عرفت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جهة أنَّ الحلّية و الحرمة مُتضادّتان، فإثبات أحد الضدّين يرفع الضدّ الآخر بحكم العقل، و هذا اللّازم و إن كان مُترتّباً على المُستصحب لكن لا يصحّح الحكومة، فقد عرفت بطلانه أيضاً؛ لما ذكرنا من أنَّ جريان الأصل في التعليقيّ يرفع الشكّ المتقوّم بطرفي الترديد لأجل التعبّد بأحد طرفي الترديد مُعيّناً و 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أصالة بقاء الكرّية أيضاً لا ترفع نجاسة الثوب، بل ترفع الترديد بالتعبّد بطهارته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الحرمة على تقدير الغليان جارٍ قبل حصوله، فيتعبّد لأجله ببقاء المُستصحب، و هو الحرمة على تقدير غليان عصير الزبيب مثلًا، و هذا الحكم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ثابتاً لعصير الزبيب الذي شكّ في حكمه، لكنّ لسان المُستصحب هو حرمة العصير على فرض الغليان، لا حرمة المغلي المشكوك فيه، فإذا حصل الغليان يكون لسان الدليل الاجتهاديّ المُستصحب بضميمة الوجدان هو حُرمة المغليّ، لا المغليّ المشكوك فيه، و استصحاب الحلّية المنجّزة متقوّم بالشك، فيكون لسانه إثبات الحلّية للمغليّ المشكوك فيه بما هو كذلك، و لا ريب في</w:t>
      </w:r>
      <w:bookmarkStart w:id="231" w:name="pg2245_12778"/>
    </w:p>
    <w:p>
      <w:pPr>
        <w:pStyle w:val="BookText"/>
        <w:rPr/>
      </w:pPr>
      <w:bookmarkEnd w:id="231"/>
      <w:r>
        <w:rPr>
          <w:rFonts w:ascii="Amiri" w:hAnsi="Amiri" w:eastAsia="Amiri" w:cs="Amiri"/>
          <w:color w:val="111111"/>
          <w:sz w:val="28"/>
          <w:sz w:val="28"/>
          <w:szCs w:val="28"/>
          <w:rtl w:val="true"/>
          <w:lang w:bidi="ar-SA"/>
        </w:rPr>
        <w:t>تقديم الأوّل على الثاني و حكومته عليه؛ لأنَّه بإثبات الحرمة لذات المغليّ يرفع الشكّ الذي هو موضوع استصحاب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يدفع ما قد يمكن أن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المغليّ المشكوك فيه موضوع لكلا الاستصحابين، و كلّ منهما بنفس التعبّد به يرفع الشكّ، و هما مُتعارضان قبل رفع موضوع الآخر</w:t>
      </w:r>
      <w:r>
        <w:rPr>
          <w:rStyle w:val="FootnoteAnchor"/>
          <w:rtl w:val="true"/>
        </w:rPr>
        <w:footnoteReference w:id="288"/>
      </w:r>
      <w:r>
        <w:rPr>
          <w:rFonts w:ascii="Amiri" w:hAnsi="Amiri" w:eastAsia="Amiri" w:cs="Amiri"/>
          <w:color w:val="111111"/>
          <w:sz w:val="28"/>
          <w:sz w:val="28"/>
          <w:szCs w:val="28"/>
          <w:rtl w:val="true"/>
          <w:lang w:bidi="ar-SA"/>
        </w:rPr>
        <w:t>لما عرفت من أنَّ استصحاب الأوّل يجري قبل الغليان، و بعد الغليان يكون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 التعليقيّ الذي يصير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بذات الموضوع و رافعاً للشكّ، فلا يبقى مجال لاستصحاب الحلّية التنجيزيّة، و الحلّية التعليقيّة لا اصل لها، و لو فرض يكون مُثبتاً؛ لأنَّ التعليق عقليّ لا شرعيّ، فتدبّر فيه فإنَّه جدير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الحكومة في المقام و بينها في مقامات اخر، و لعلّ عدم تعرّض الشيخ الأعظم قدس سره لوجه الحكومة لذلك، و نحن لسنا الآن بصدد بيان وجه تقدّم الأصل السببيّ و ما هو التحقيق عندنا، بل بصدد أنَّ المقام كالمقامات الاخرى بلا افتراقٍ بينهما</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614049_3804643083"/>
      <w:bookmarkStart w:id="233" w:name="_Toc85"/>
      <w:bookmarkEnd w:id="232"/>
      <w:r>
        <w:rPr>
          <w:rtl w:val="true"/>
        </w:rPr>
        <w:t>التنبيه الخامس استصحاب أحكام سائر الشرائع</w:t>
      </w:r>
      <w:bookmarkEnd w:id="233"/>
    </w:p>
    <w:p>
      <w:pPr>
        <w:pStyle w:val="BookText"/>
        <w:rPr/>
      </w:pPr>
      <w:r>
        <w:rPr>
          <w:rFonts w:ascii="Amiri" w:hAnsi="Amiri" w:eastAsia="Amiri" w:cs="Amiri"/>
          <w:color w:val="111111"/>
          <w:sz w:val="28"/>
          <w:sz w:val="28"/>
          <w:szCs w:val="28"/>
          <w:rtl w:val="true"/>
          <w:lang w:bidi="ar-SA"/>
        </w:rPr>
        <w:t>هل يجري استصحاب الأحكام الثابتة في الشرائع السابقة كما يجري في أحكام شريعتنا إذا شككنا في نسخها أم لا؟ و هذه المسألة و إن لم تكن لها ثمرة ظاهرة لكن نتعرّض لها اقتفاءً لأثر القوم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الشيخ الأعظم و من بعده الجريان قائلين إنَّ المُقتضي موجود، و هو</w:t>
      </w:r>
    </w:p>
    <w:p>
      <w:pPr>
        <w:pStyle w:val="BookText"/>
        <w:rPr/>
      </w:pPr>
      <w:r>
        <w:rPr>
          <w:rFonts w:ascii="Amiri" w:hAnsi="Amiri" w:eastAsia="Amiri" w:cs="Amiri"/>
          <w:color w:val="111111"/>
          <w:sz w:val="28"/>
          <w:sz w:val="28"/>
          <w:szCs w:val="28"/>
          <w:rtl w:val="true"/>
          <w:lang w:bidi="ar-SA"/>
        </w:rPr>
        <w:t>إطلاق أدلّة الاستصحاب، و ليس ما يصلح للمانعيّة إلّا امور يمكن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الثابت في حقّ جماعة لا يمكن إثباته في حقّ الآخرين لتغاير الموضوع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أجابوا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باستصحاب عدم النسخ في أحكام شريعتنا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فإنَّ الأحكام ثابتة للعناوين الكلّية على نحو القضايا الحقيقيّة لا للأشخاص على نحو الخارجيّة، فإذا ثبت حكم للمُستطيع أو الغنيّ أو الفقير فلا مانع من استصحاب بقائه عند الشكّ في نسخه؛ فإنَّ موضوع القضيّة المُتيقّنة و المشكوك فيها هو هذه العناوين بنحو القضيّة الحقيقيّة، فتتّحد القضيّة المُتيقّنة و المشكوك فيها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الشيخ رحمه اللَّه أمراً آخر</w:t>
      </w:r>
      <w:r>
        <w:rPr>
          <w:rStyle w:val="FootnoteAnchor"/>
          <w:rtl w:val="true"/>
        </w:rPr>
        <w:footnoteReference w:id="292"/>
      </w:r>
      <w:r>
        <w:rPr>
          <w:rFonts w:ascii="Amiri" w:hAnsi="Amiri" w:eastAsia="Amiri" w:cs="Amiri"/>
          <w:color w:val="111111"/>
          <w:sz w:val="28"/>
          <w:sz w:val="28"/>
          <w:szCs w:val="28"/>
          <w:rtl w:val="true"/>
          <w:lang w:bidi="ar-SA"/>
        </w:rPr>
        <w:t xml:space="preserve">ردّ عليه من بعده </w:t>
      </w:r>
      <w:r>
        <w:rPr>
          <w:rStyle w:val="FootnoteAnchor"/>
          <w:rtl w:val="true"/>
        </w:rPr>
        <w:footnoteReference w:id="293"/>
      </w:r>
      <w:r>
        <w:rPr>
          <w:rFonts w:ascii="Amiri" w:hAnsi="Amiri" w:eastAsia="Amiri" w:cs="Amiri"/>
          <w:color w:val="111111"/>
          <w:sz w:val="28"/>
          <w:sz w:val="28"/>
          <w:szCs w:val="28"/>
          <w:rtl w:val="true"/>
          <w:lang w:bidi="ar-SA"/>
        </w:rPr>
        <w:t>، و العمدة هو الجواب الحلّي الذي ارتضاه المُحقّقون، و هو أن يدفع الإشكال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هاهنا شبهة اخرى لا يدفعها هذا الجواب، و هي أنَّه من الممكن أن يكون المأخوذ في موضوع الحكم الثابت في الشرائع السابقة عنوان على نحو القضيّة الحقيقيّة، لا ينطبق ذلك العنوان على الموجودين في عصرنا، كما لو اخذ عنوان اليهود و النصارى فإنَّ القضيّة و إن كانت حقيقيّة لكن لا ينطبق عنوان موضوعها على غير مصاديقه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الَّذِينَ هادُوا حَرَّمْنا كُلَّ ذِي ظُفُرٍ وَ مِنَ الْبَقَرِ وَ الْغَنَمِ حَرَّمْنا عَلَيْهِمْ شُحُومَهُما</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إلى آخره كانت القضيّة حقيقيّة، لكن إذا شكّ المُسلمون في بقاء</w:t>
      </w:r>
    </w:p>
    <w:p>
      <w:pPr>
        <w:pStyle w:val="BookText"/>
        <w:rPr/>
      </w:pPr>
      <w:r>
        <w:rPr>
          <w:rFonts w:ascii="Amiri" w:hAnsi="Amiri" w:eastAsia="Amiri" w:cs="Amiri"/>
          <w:color w:val="111111"/>
          <w:sz w:val="28"/>
          <w:sz w:val="28"/>
          <w:szCs w:val="28"/>
          <w:rtl w:val="true"/>
          <w:lang w:bidi="ar-SA"/>
        </w:rPr>
        <w:t>حكمها لهم لا يجري الاستصحاب، كما لو ثبت حكم للفقراء و شكّ الأغنياء في ثبوته لهم لا يمكن إثباته لهم بالاستصحاب، و هذا واضح جدّاً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يستصحب الحكم الثابت للعصير العنبيّ إذا شكّ في ثبوته للعصير الزبيبيّ، و هل هذا إلّا إسراء حكم من موضوع إلى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ما ذكرنا و بين مورد النقض؛ لأنَّ كلّ زبيب مسبوق بالعنبيّة بحسب وجوده الخارجيّ، فإذا وجد العنب في الخارج، و ثبت الحكم له، و صار يابساً يجري استصحاب حكمه؛ لأنَّ العنب الخارجيّ إذا يبس لا يرى العرف إلّا بقاءه مع تغيير حال، فالقضيّة المُتيقّنة و المشكوك فيها واحدة فيُستصحب الحكم، و أمّا المُسلمون فلم يكن كلّ واحدٍ منهم مسبوقاً بالتهوّد أو التنصّر خارجاً ثمّ صار مُسلماً، و لو كانوا كذلك لجرى في حقّهم الاستصحاب، كاستصحاب حكم العنب للزبيب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الفرق بين استصحاب عدم النسخ في أحكام هذه الشريعة و أحكام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احتمال أخذ عنوان غير منطبق على المُسلمين كافٍ في المنع؛ للزوم إحراز وحدة القضيّتين، و لا دافع للاحتمال في حكم من الأحكام المشكوك في نسخها؛ لأنَّ ظواهر الكتب المنسوخة الرائجة بينهم ليست قابلة للتمسّك بها، مع ورود الدس و التغيير عليها، و أصلها الغير المُتغيّر ليس عندهم و لا عندنا حتّى يعلم أنَّ الحكم ثابت للعنوان الكذائي، و القرآن المجيد لم يحك العناوين المأخوذة في موضوعات أحكامهم الكلّية، كما يظهر بالتأمّل فيما جعلوه ثمرة للنزاع تبعاً للمحكيّ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استصحاب أحكام الشرائع السابقة</w:t>
      </w:r>
      <w:r>
        <w:rPr>
          <w:rFonts w:eastAsia="Amiri" w:cs="Amiri" w:ascii="Amiri" w:hAnsi="Amiri"/>
          <w:color w:val="111111"/>
          <w:sz w:val="28"/>
          <w:szCs w:val="28"/>
          <w:rtl w:val="true"/>
          <w:lang w:bidi="ar-SA"/>
        </w:rPr>
        <w:t>.</w:t>
      </w:r>
      <w:bookmarkStart w:id="234" w:name="pg2245_12784"/>
    </w:p>
    <w:p>
      <w:pPr>
        <w:pStyle w:val="BookText"/>
        <w:rPr/>
      </w:pPr>
      <w:bookmarkEnd w:id="234"/>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الشكّ فيها من قبيل الشكّ في المُقتضي؛ لعدم الدليل على إحرازه، و نحن و إن ذهبنا إلى جريانه فيه </w:t>
      </w:r>
      <w:r>
        <w:rPr>
          <w:rStyle w:val="FootnoteAnchor"/>
          <w:rtl w:val="true"/>
        </w:rPr>
        <w:footnoteReference w:id="297"/>
      </w:r>
      <w:r>
        <w:rPr>
          <w:rFonts w:ascii="Amiri" w:hAnsi="Amiri" w:eastAsia="Amiri" w:cs="Amiri"/>
          <w:color w:val="111111"/>
          <w:sz w:val="28"/>
          <w:sz w:val="28"/>
          <w:szCs w:val="28"/>
          <w:rtl w:val="true"/>
          <w:lang w:bidi="ar-SA"/>
        </w:rPr>
        <w:t xml:space="preserve">، و لكن يرد هذا الإشكال على الشيخ رحمه اللَّه، و من تبعه في عدم الجريان مع الشكّ في المُقتضي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1614051_3804643083"/>
      <w:bookmarkStart w:id="236" w:name="_Toc86"/>
      <w:bookmarkEnd w:id="235"/>
      <w:r>
        <w:rPr>
          <w:rtl w:val="true"/>
        </w:rPr>
        <w:t>التنبيه السادس في الاصول المُثبتة</w:t>
      </w:r>
      <w:bookmarkEnd w:id="236"/>
    </w:p>
    <w:p>
      <w:pPr>
        <w:pStyle w:val="Heading4"/>
        <w:numPr>
          <w:ilvl w:val="3"/>
          <w:numId w:val="1"/>
        </w:numPr>
        <w:rPr/>
      </w:pPr>
      <w:bookmarkStart w:id="237" w:name="__RefHeading___Toc1614053_3804643083"/>
      <w:bookmarkStart w:id="238" w:name="_Toc87"/>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قد اختلفت كلمة أهل التحقيق في وجه اعتبار مُثبتات الأمارات دون الاصول؛ أي اللّوازم و الملزومات و الملازمات العاديّة و العقليّة إذا انتهت إلى الأثر العمليّ الشرعي، بل في الملزومات و المُلازمات الشرعيّة، سواء كان ترتّب الأثر مع الواسطة أو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المُحقّق الخراسانيّ إلى أنَّ وجهه إطلاق أدلّة الأمارات دون الاصول؛ لوجود القدر المُتيقّن في مقام التخاطب فيها، و هو آثار نفس المُستصحب بلا توسّط شي‌ء</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شيخنا العلّامة رحمه اللَّه إلى أنَّ وجهه انصراف أدلّة الاصول عن الآثار مع الواسطة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أعاظم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وجهه اختلاف المجعول في باب الأمارات و الاصول؛ فإنَّ المجعول في الأوّل هو الطريقيّة و الكاشفيّة، و لازمه حُجّية المُثبتات،</w:t>
      </w:r>
    </w:p>
    <w:p>
      <w:pPr>
        <w:pStyle w:val="BookText"/>
        <w:rPr/>
      </w:pPr>
      <w:r>
        <w:rPr>
          <w:rFonts w:ascii="Amiri" w:hAnsi="Amiri" w:eastAsia="Amiri" w:cs="Amiri"/>
          <w:color w:val="111111"/>
          <w:sz w:val="28"/>
          <w:sz w:val="28"/>
          <w:szCs w:val="28"/>
          <w:rtl w:val="true"/>
          <w:lang w:bidi="ar-SA"/>
        </w:rPr>
        <w:t>و في الثاني هو مُجرّد تطبيق العمل على مؤدّى الأصل، و هو لا يقتضي حجّيتها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عدم اعتبار مُثبتات الاصول أنَّ اللّوازم العقليّة و العاديّة ليست تحت جعل الشارع، و وجوب ترتيب الآثار المُستفاد من دليل الاستصحاب لا يُعقل إلّا في الآثار القابلة للجعل الشرعيّ، فالمعقول من حكم الشارع بحياة زيد و إيجابه ترتيب آثار الحياة في زمان الشكّ هو الحكم بحرمة تزويج زوجته و التصرّف في ماله، لا حكمه بنموّه و نبات لحيته؛ لأنَّ هذه غير قابلة لجعل الشارع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افاده الشيخ و إن كان أسدّ ما قيل في الباب، لكنّه لا يحسم به مادّة الإشكال، خصوصاً في الآثار الشرعيّة مع الوسائط العديدة، و ستعرف الإشكال فيها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حُجّية مُثبتات الأمارات فهو أنَّ جميع الأمارات الشرعيّة إنّما هي أمارات عقلائيّة أمضاها الشارع، و ليس فيها ما تكون حُجّيتها بتأسيس من الشرع، كظواهر الألفاظ و قول اللّغويّ على القول بحُجّيته، و خبر الثقة و اليد و قول ذي اليد على القول بحُجّيته، و أصالة الصحّة على القول بأماريّتها؛ فإنّها كلّها أمارات عقلائيّة لم يردع عنها الشارع، فراجع أدلّة حُجّية خبر الثقة ترى أنّها ليست بصدد التأسيس، بل جميعها بصدد الإمضاء لبناء العقلاء، فآية النبأ</w:t>
      </w:r>
      <w:r>
        <w:rPr>
          <w:rStyle w:val="FootnoteAnchor"/>
          <w:rtl w:val="true"/>
        </w:rPr>
        <w:footnoteReference w:id="304"/>
      </w:r>
      <w:r>
        <w:rPr>
          <w:rFonts w:ascii="Amiri" w:hAnsi="Amiri" w:eastAsia="Amiri" w:cs="Amiri"/>
          <w:color w:val="111111"/>
          <w:sz w:val="28"/>
          <w:sz w:val="28"/>
          <w:szCs w:val="28"/>
          <w:rtl w:val="true"/>
          <w:lang w:bidi="ar-SA"/>
        </w:rPr>
        <w:t>ظاهرها الردع عن العمل بقول الفاسق، فيظهر منها أنَّ بناءهم هو العمل بقول الثقة مطلقاً</w:t>
      </w:r>
    </w:p>
    <w:p>
      <w:pPr>
        <w:pStyle w:val="BookText"/>
        <w:rPr/>
      </w:pPr>
      <w:r>
        <w:rPr>
          <w:rFonts w:ascii="Amiri" w:hAnsi="Amiri" w:eastAsia="Amiri" w:cs="Amiri"/>
          <w:color w:val="111111"/>
          <w:sz w:val="28"/>
          <w:sz w:val="28"/>
          <w:szCs w:val="28"/>
          <w:rtl w:val="true"/>
          <w:lang w:bidi="ar-SA"/>
        </w:rPr>
        <w:t>أو خصوص غير الفاسق، إلّا أنّهم لا يعلمون فسق الوليد</w:t>
      </w:r>
      <w:r>
        <w:rPr>
          <w:rStyle w:val="FootnoteAnchor"/>
          <w:rtl w:val="true"/>
        </w:rPr>
        <w:footnoteReference w:id="305"/>
      </w:r>
      <w:r>
        <w:rPr>
          <w:rFonts w:ascii="Amiri" w:hAnsi="Amiri" w:eastAsia="Amiri" w:cs="Amiri"/>
          <w:color w:val="111111"/>
          <w:sz w:val="28"/>
          <w:sz w:val="28"/>
          <w:szCs w:val="28"/>
          <w:rtl w:val="true"/>
          <w:lang w:bidi="ar-SA"/>
        </w:rPr>
        <w:t>، فأخبر اللَّه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يظهر منها أنَّ العمل بخبر الثقة كان مورد بنائهم و ارتكازهم، و كذا الحال في غيرها من الأخبار التي بلغت حدّ الاستفاضة أو التواتر</w:t>
      </w:r>
      <w:r>
        <w:rPr>
          <w:rStyle w:val="FootnoteAnchor"/>
          <w:rtl w:val="true"/>
        </w:rPr>
        <w:footnoteReference w:id="306"/>
      </w:r>
      <w:r>
        <w:rPr>
          <w:rFonts w:ascii="Amiri" w:hAnsi="Amiri" w:eastAsia="Amiri" w:cs="Amiri"/>
          <w:color w:val="111111"/>
          <w:sz w:val="28"/>
          <w:sz w:val="28"/>
          <w:szCs w:val="28"/>
          <w:rtl w:val="true"/>
          <w:lang w:bidi="ar-SA"/>
        </w:rPr>
        <w:t>، و هذا حال خبر الواحد الوارد فيه الآيات و الأخبار، فكيف بغيره ممّا هو خالٍ غالباً عن الدليل اللفظي، و ما ورد فيه بعض الروايات تكون إمضائيّة أيضاً كاليد</w:t>
      </w:r>
      <w:r>
        <w:rPr>
          <w:rStyle w:val="FootnoteAnchor"/>
          <w:rtl w:val="true"/>
        </w:rPr>
        <w:footnoteReference w:id="30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إشكال في أنَّ الأمارات مطلقاً عقلائيّة أمضاها الشارع، و معلوم أنَّ بناء العقلاء على العمل بها إنّما هو لأجل إثباتها الواقع، لا للتعبّد بالعمل بها، فإذا ثبت الواقع بها تثبت لوازمه و ملزوماته و ملازماته بعين الملاك الذي لنفسه، فكما أنَّ العلم بالشي‌ء موجب للعلم بلوازمه و ملزوماته و ملازماته مطلقاً، فكذلك الوثوق به مُوجب للوثوق بها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الحال بالنسبة إلى احتجاج الموالي على العبيد و بالعكس، فكما يحتجّ العقلاء بقيام الأمارة على الشي‌ء، كذلك يحتجّون على لوازمه و ملزوماته و ملازماته مع الواسطة أو بلا واسطة شي‌ء، و لو حاولنا إثبات حُجّية الأمارات بالأدلّة النقليّة لما أمكن لنا إثبات حُجّية مُثبتاتها، بل و لا لوازمها الشرعيّة إذا كانت مع الواسطة الشرعيّة، كما سيأتي التعرّض له إن شاء اللَّه </w:t>
      </w:r>
      <w:r>
        <w:rPr>
          <w:rStyle w:val="FootnoteAnchor"/>
          <w:rtl w:val="true"/>
        </w:rPr>
        <w:footnoteReference w:id="308"/>
      </w:r>
      <w:r>
        <w:rPr>
          <w:rFonts w:ascii="IRNazanin" w:hAnsi="IRNazanin" w:eastAsia="IRNazanin"/>
          <w:color w:val="111111"/>
          <w:sz w:val="28"/>
          <w:sz w:val="28"/>
          <w:szCs w:val="28"/>
          <w:rtl w:val="true"/>
          <w:lang w:bidi="fa-IR"/>
        </w:rPr>
        <w:t>، هذا حال الأمارات</w:t>
      </w:r>
      <w:r>
        <w:rPr>
          <w:rFonts w:eastAsia="IRNazanin" w:cs="IRNazanin"/>
          <w:color w:val="111111"/>
          <w:sz w:val="28"/>
          <w:szCs w:val="28"/>
          <w:rtl w:val="true"/>
          <w:lang w:bidi="fa-IR"/>
        </w:rPr>
        <w:t>.</w:t>
      </w:r>
      <w:bookmarkStart w:id="239" w:name="pg2245_12790"/>
    </w:p>
    <w:p>
      <w:pPr>
        <w:pStyle w:val="Heading4"/>
        <w:numPr>
          <w:ilvl w:val="3"/>
          <w:numId w:val="1"/>
        </w:numPr>
        <w:rPr/>
      </w:pPr>
      <w:bookmarkStart w:id="240" w:name="__RefHeading___Toc1614055_3804643083"/>
      <w:bookmarkStart w:id="241" w:name="_Toc88"/>
      <w:bookmarkEnd w:id="239"/>
      <w:bookmarkEnd w:id="240"/>
      <w:r>
        <w:rPr>
          <w:rtl w:val="true"/>
        </w:rPr>
        <w:t>حال مُثبتات الاصول</w:t>
      </w:r>
      <w:bookmarkEnd w:id="241"/>
    </w:p>
    <w:p>
      <w:pPr>
        <w:pStyle w:val="BookText"/>
        <w:rPr/>
      </w:pPr>
      <w:r>
        <w:rPr>
          <w:rFonts w:ascii="Amiri" w:hAnsi="Amiri" w:eastAsia="Amiri" w:cs="Amiri"/>
          <w:color w:val="111111"/>
          <w:sz w:val="28"/>
          <w:sz w:val="28"/>
          <w:szCs w:val="28"/>
          <w:rtl w:val="true"/>
          <w:lang w:bidi="ar-SA"/>
        </w:rPr>
        <w:t>و أمّا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عمدتها الاستصحاب، فالسرّ في عدم حُجّية مُثبتاتها، و حُجّية لوازمها الشرعيّة، و لو مع الوسائط إذا كان الترتّب بين الوسائط كلّها شرعيّاً يتّضح بعد التنبيه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إذا تعلّق بشي‌ء له لازم و ملازم و ملزوم، و كان لكلّ منها أثر شرعيّ، يصير تعلّق اليقين به موجباً لتعلّق يقين آخر على لازمه، و يقين آخر على ملازمه، و يقين آخر على ملزومه، فتكون مُتعلّقات أربعة، كلّ واحد منها مُتعلّق ليقين مُستقلّ و إن كان ثلاثة منها معلولة لليقين المُتعلّق بالملزوم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يكون لزوم ترتيب الأثر على كلّ مُتعلَّق لأجل استكشافه باليقين المُتعلّق به، لا اليقين المُتعلّق بغيره من ملزومه أو لازمه أو مُلازمه، فإذا تيقّنت بطلوع الفجر، و علمت منه خروج اللّيل و دخول يوم رمضان، و كان لطلوع الفجر أثر، و لخروج الليل أثر، و لدخول يوم رمضان أثر، لا يكون لزوم ترتيب الأثر على كلّ موضوع إلّا لأجل تعلّق العلم به، لا لأجل تعلّقه بغيره من لازمه أو ملزومه أو مُلازمه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تيقّنت بحياة زيد، و حصل منه يقين بنبات لحيته، و يقين آخر ببياضها، و كان لكلّ منها أثر شرعيّ، يجب ترتيب أثر حياته للعلم بها، و نبات لحيته للعلم به، لا للعلم بحياته، و ترتيب أثر بياضها للعلم به، لا بنبات اللّحية أو الحياة، فالعلم بكلّ مُتعلّق موضوع مستقلّ لوجوب ترتيب أثره، و إن كان بعض العلوم معلولًا لبعض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الكبرى الكلّية في الاستصحاب و هي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يكون المُراد منها هو إقامة المشكوك فيها مقام المُتيقّن في ترتيب الآثار،</w:t>
      </w:r>
    </w:p>
    <w:p>
      <w:pPr>
        <w:pStyle w:val="BookText"/>
        <w:rPr/>
      </w:pPr>
      <w:r>
        <w:rPr>
          <w:rFonts w:ascii="Amiri" w:hAnsi="Amiri" w:eastAsia="Amiri" w:cs="Amiri"/>
          <w:color w:val="111111"/>
          <w:sz w:val="28"/>
          <w:sz w:val="28"/>
          <w:szCs w:val="28"/>
          <w:rtl w:val="true"/>
          <w:lang w:bidi="ar-SA"/>
        </w:rPr>
        <w:t xml:space="preserve">فيكون المفاد وجوب ترتيب آثار المُتيقّن على المشكوك فيه، كما هو الظاهر من الشيخ و من بعده من الأعلام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إمّا أن يكون المُراد منها إبقاء اليقين في اعتبار الشارع و إطالة عمره، و عدم نقضه بالشكّ، لكونه أمراً مُبرماً لا ينقض بما ليس كذلك، فيكون معنى عدم نقض اليقين بالشكّ هو التعبّد ببقاء اليقين الطريقيّ في مقام العمل </w:t>
      </w:r>
      <w:r>
        <w:rPr>
          <w:rStyle w:val="FootnoteAnchor"/>
          <w:rtl w:val="true"/>
        </w:rPr>
        <w:footnoteReference w:id="310"/>
      </w:r>
      <w:r>
        <w:rPr>
          <w:rFonts w:ascii="Amiri" w:hAnsi="Amiri" w:eastAsia="Amiri" w:cs="Amiri"/>
          <w:color w:val="111111"/>
          <w:sz w:val="28"/>
          <w:sz w:val="28"/>
          <w:szCs w:val="28"/>
          <w:rtl w:val="true"/>
          <w:lang w:bidi="ar-SA"/>
        </w:rPr>
        <w:t>، و لا يلزم منه صيرورة الاستصحاب طريقاً و أمارة كما ذهبنا إليه سالفاً</w:t>
      </w:r>
      <w:r>
        <w:rPr>
          <w:rStyle w:val="FootnoteAnchor"/>
          <w:rtl w:val="true"/>
        </w:rPr>
        <w:footnoteReference w:id="311"/>
      </w:r>
      <w:r>
        <w:rPr>
          <w:rFonts w:ascii="Amiri" w:hAnsi="Amiri" w:eastAsia="Amiri" w:cs="Amiri"/>
          <w:color w:val="111111"/>
          <w:sz w:val="28"/>
          <w:sz w:val="28"/>
          <w:szCs w:val="28"/>
          <w:rtl w:val="true"/>
          <w:lang w:bidi="ar-SA"/>
        </w:rPr>
        <w:t xml:space="preserve">لما عرفت في محلّه من أنَّ اليقين السابق لا يمكن أن يكون طريقاً و أمارة على الشي‌ء المشكوك في زمان الشكّ </w:t>
      </w:r>
      <w:r>
        <w:rPr>
          <w:rStyle w:val="FootnoteAnchor"/>
          <w:rtl w:val="true"/>
        </w:rPr>
        <w:footnoteReference w:id="312"/>
      </w:r>
      <w:r>
        <w:rPr>
          <w:rFonts w:ascii="Amiri" w:hAnsi="Amiri" w:eastAsia="Amiri" w:cs="Amiri"/>
          <w:color w:val="111111"/>
          <w:sz w:val="28"/>
          <w:sz w:val="28"/>
          <w:szCs w:val="28"/>
          <w:rtl w:val="true"/>
          <w:lang w:bidi="ar-SA"/>
        </w:rPr>
        <w:t xml:space="preserve">، فلا يمكن أن يكون اعتبار بقاء اليقين إلّا إيجاب العمل على طبق اليقين الطريقيّ؛ أي التعبّد ببقاء المُتيقّن، فتصير نتيجة الاعتبارين واحدة، و هي وجوب ترتيب الآثار في زمان الشكّ، و إن كان الاعتباران مُختلفين، و طريق التعبّد بوجوب ترتيب الأثر مُختلفاً، كما ستأتي الإشارة إليه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بمعنى تنزيل المشكوك فيه منزلة المُتيقّن في الآثار فلا يترتّب عليه بهذا الدليل إلّا آثار نفس المُتيقّن دون آثار الآثار؛ أي لوازم اللّوازم الشرعيّة، و إن كان الترتّب شرعيّاً، فضلًا عن آثار اللّوازم و الملزومات و المُلازمات العقليّة و العاديّة، و ذلك لوجهين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آثار المُتيقّن ليست إلّا ما يترتّب عليه و يكون هو موضوعاً لها، و أمّا أثر الأثر فيكون موضوعه الأثر لا المُتيقّن، كما أنَّ أثر اللّازم أو الملزوم أو المُلازم مُطلقاً يكون</w:t>
      </w:r>
    </w:p>
    <w:p>
      <w:pPr>
        <w:pStyle w:val="BookText"/>
        <w:rPr/>
      </w:pPr>
      <w:r>
        <w:rPr>
          <w:rFonts w:ascii="Amiri" w:hAnsi="Amiri" w:eastAsia="Amiri" w:cs="Amiri"/>
          <w:color w:val="111111"/>
          <w:sz w:val="28"/>
          <w:sz w:val="28"/>
          <w:szCs w:val="28"/>
          <w:rtl w:val="true"/>
          <w:lang w:bidi="ar-SA"/>
        </w:rPr>
        <w:t>موضوعه تلك الامور لا المُتيقّن، و معنى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عليه أنَّ رتّب آثار المُتيقّن على المشكوك فيه، و الفرض أنَّه لم يتعلّق اليقين إلّا بنفس المُتيقّن، فإذا تعلّق اليقين بحياة زيد دون نبات لحيته، و شكّ في بقائها، يكون التعبّد بلزوم ترتيب الأثر بلحاظ أثر المُتيقّن؛ و هو ما يترتّب على الحياة المُتيقّنة، لا ما ليس بمُتيقّن كنبات اللّحية؛ فإنَّ التنزيل لم يقع إلّا بلحاظ المُتيقّن و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غير فرق بين الآثار المُترتّبة على الوسائط الشرعيّة و العاديّة 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ذلك من جهة انصراف الأدلّة عن الآثار الغير الشرعيّة</w:t>
      </w:r>
      <w:r>
        <w:rPr>
          <w:rStyle w:val="FootnoteAnchor"/>
          <w:rtl w:val="true"/>
        </w:rPr>
        <w:footnoteReference w:id="314"/>
      </w:r>
      <w:r>
        <w:rPr>
          <w:rFonts w:ascii="IRNazanin" w:hAnsi="IRNazanin" w:eastAsia="IRNazanin"/>
          <w:color w:val="111111"/>
          <w:sz w:val="28"/>
          <w:sz w:val="28"/>
          <w:szCs w:val="28"/>
          <w:rtl w:val="true"/>
          <w:lang w:bidi="fa-IR"/>
        </w:rPr>
        <w:t>، أو عدم إطلاقها</w:t>
      </w:r>
      <w:r>
        <w:rPr>
          <w:rStyle w:val="FootnoteAnchor"/>
          <w:rtl w:val="true"/>
        </w:rPr>
        <w:footnoteReference w:id="315"/>
      </w:r>
      <w:r>
        <w:rPr>
          <w:rFonts w:ascii="Amiri" w:hAnsi="Amiri" w:eastAsia="Amiri" w:cs="Amiri"/>
          <w:color w:val="111111"/>
          <w:sz w:val="28"/>
          <w:sz w:val="28"/>
          <w:szCs w:val="28"/>
          <w:rtl w:val="true"/>
          <w:lang w:bidi="ar-SA"/>
        </w:rPr>
        <w:t xml:space="preserve">، أو عدم تعقّل جعل ما ليس تحت يد الشارع </w:t>
      </w:r>
      <w:r>
        <w:rPr>
          <w:rStyle w:val="FootnoteAnchor"/>
          <w:rtl w:val="true"/>
        </w:rPr>
        <w:footnoteReference w:id="316"/>
      </w:r>
      <w:r>
        <w:rPr>
          <w:rFonts w:ascii="Amiri" w:hAnsi="Amiri" w:eastAsia="Amiri" w:cs="Amiri"/>
          <w:color w:val="111111"/>
          <w:sz w:val="28"/>
          <w:sz w:val="28"/>
          <w:szCs w:val="28"/>
          <w:rtl w:val="true"/>
          <w:lang w:bidi="ar-SA"/>
        </w:rPr>
        <w:t>، كما ذهب إلى كلٍّ ذاهب، بل لقصور الأدلّة، و خروج تلك الآثار موضوعاً و تخصّصاً، و هذا الوجه يظهر من كلام الشيخ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الأصل لا يمكن أن يتكفّل بآثار الآثار، و آثار الوسائط و لو كانت شرعيّة؛ لأنَّ الأثر إنّما يكون تحقّقه بنفس التعبّد، و لا يمكن أن يكون الدليل المُتكفّل للتعبّد بالأثر مُتكفّلًا للتعبّد بأثر الأثر؛ لأنَّ أثر المُتيقّن مُتقدّم ذاتاً و اعتباراً على أثره؛ أي أثر الأثر، لكونه موضوعاً له، فلا بدّ من جعل الأثر و التعبّد به أولًا، و جعل أثر ذلك الأثر و التعبّد به في الرتبة المُتأخّرة عن الجعل الأوّل، و لا يمكن أن يكون الجعل الواحد و الدليل الفارد مُتكفّلًا لهما؛ للزوم تقدّم الشي‌ء على نفسه، و إثبات الموضوع بالحكم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في المقام الإشكال الذي ورد على أدلّة حُجّية خبر الثقة بالنسبة إلى الأخبار مع الواسطة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يمكن دفعه بما دفع به الإشكال هناك؛ لإمكان أن يقال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حقيقيّة تنطبق على كلّ مصداق وجد منها و لو كان مصداقاً تعبّدياً</w:t>
      </w:r>
      <w:r>
        <w:rPr>
          <w:rStyle w:val="FootnoteAnchor"/>
          <w:rtl w:val="true"/>
        </w:rPr>
        <w:footnoteReference w:id="318"/>
      </w:r>
      <w:r>
        <w:rPr>
          <w:rFonts w:ascii="Amiri" w:hAnsi="Amiri" w:eastAsia="Amiri" w:cs="Amiri"/>
          <w:color w:val="111111"/>
          <w:sz w:val="28"/>
          <w:sz w:val="28"/>
          <w:szCs w:val="28"/>
          <w:rtl w:val="true"/>
          <w:lang w:bidi="ar-SA"/>
        </w:rPr>
        <w:t>، أو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يحكم بإلغاء الخصوصيّة</w:t>
      </w:r>
      <w:r>
        <w:rPr>
          <w:rStyle w:val="FootnoteAnchor"/>
          <w:rtl w:val="true"/>
        </w:rPr>
        <w:footnoteReference w:id="319"/>
      </w:r>
      <w:r>
        <w:rPr>
          <w:rFonts w:ascii="Amiri" w:hAnsi="Amiri" w:eastAsia="Amiri" w:cs="Amiri"/>
          <w:color w:val="111111"/>
          <w:sz w:val="28"/>
          <w:sz w:val="28"/>
          <w:szCs w:val="28"/>
          <w:rtl w:val="true"/>
          <w:lang w:bidi="ar-SA"/>
        </w:rPr>
        <w:t>، أو يدّعى العلم بالمناط؛ و أنَّ المصداق المُتحقّق بنفس دليل التعبّد لا بدّ و أن يترتّب عليه الأثر</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يأتي واحد منها في المقام؛ لأنَّ التعبّد بعدم نقض اليقين بالشكّ لا يوجب حصول مصداق تعبّدي من الشكّ و اليقين حتّى ينطبق عليه عدم نقضه به، فإذا علم بعدالة زيد، و شكّ فيها، يجب ترتيب آثار العدالة عليه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فيحكم بجواز الاقتداء به، و جواز شهادته في الطلاق، فإذا كان جواز الاقتداء و الشهادة فيه موضوعاً لأثرٍ شرعيّ فلا يمكن أن يكون دليل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حاكماً بوجوب ترتّبه عليهما؛ لعدم تكفّل هذا التعبّد لإيجاد مصداق تعبّدي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قضيّة حقيقيّة تشمل ما وجد بنفس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يمكن دعوى إلغاء الخصوصيّة عرفاً أو العلم بالمناط بعد عدم كونه مصداقاً للكبرى و لو تعبّداً، و بعد كون ترتّب الأثر على الموضوع لأجل تعلّق اليقين و هو مفقود، فدعوى وحدة المناط أو إلغاء الخصوصيّة مُجازفة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أنَّه لو كان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التعبّد بإبقاء اليقين و إطالة عمره لما نفع في ترتّب آثار الوسائط الشرعيّة فضلًا عن غيرها؛ لعين ما ذكرنا من الوجهين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يتّضح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دليل حُجّية الأمارات هو الأدلّة التعبّدية من الكتاب و السنّة لكانت مُثبتاتها أيضاً غير حُجّة؛ لأنَّ جعل الكاشفيّة و الطريقيّة</w:t>
      </w:r>
      <w:bookmarkStart w:id="242" w:name="pg2245_12798"/>
    </w:p>
    <w:p>
      <w:pPr>
        <w:pStyle w:val="BookText"/>
        <w:rPr/>
      </w:pPr>
      <w:bookmarkEnd w:id="2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شئت فسمّه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للأمارات تعبّداً ليس إلّا ترتيب أثرها، مع أنَّ أثر كشف كلّ موضوع هو لزوم ترتيب أثره لا غير، و أمّا أثر موضوع آخر لازم له أو ملزوم له أو ملازم إنّما هو لأجل كشفه الخاصّ به، لا أثر كشف ملزومه أو لازمه أو مُلازمه، فلا يشمله دليل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الأمارات و الاصول في حُجّية مُثبتات الاولى دون الثانية هو ما عرفت</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614057_3804643083"/>
      <w:bookmarkStart w:id="244" w:name="_Toc89"/>
      <w:bookmarkEnd w:id="243"/>
      <w:r>
        <w:rPr>
          <w:rtl w:val="true"/>
        </w:rPr>
        <w:t>بيان الفرق بين الآثار الشرعيّة و غيرها</w:t>
      </w:r>
      <w:bookmarkEnd w:id="244"/>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ذكرت لم يبق فرق بين الآثار المُترتّبة على الوسائط الشرعيّة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بينهما من حيث الاستفادة من دليل الأصل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هاهنا أمر آخر مُوجب للزوم الأخذ بآثار اللّوازم الشرعيّة، و إن كانت مع ألف واسطة شرعيّة دون غيرها؛ و هو أنّا لو فرضنا سلسلة مُترتّبة من اللّوازم و الملزومات الشرعيّة، فصار مبدأ السلسلة؛ أي الملزوم الأوّل مشمولًا لدليل الأصل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فينسلك المُستصحب في صغرى كبرى كلّية مجعولة شرعيّة لأجل تحقّق مصداقها بالأصل، فإذا انطبقت عليه الكبرى المجعولة يتحقّق لأجله موضوع لكبرى كلّية مجعولة اخرى و بعد انطباقها عليه يتحقّق موضوع لكبرى مجعولة ثالثة، و هكذا إلى آخر السلسلة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عدالة زيد كانت معلومة، فشكّ في بقائها، فدليل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يحكم بأنَّه عادل تعبّداً، فهذا الدليل يحرز مصداقاً تعبّدياً لقوله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w:t>
      </w:r>
    </w:p>
    <w:p>
      <w:pPr>
        <w:pStyle w:val="BookText"/>
        <w:rPr/>
      </w:pP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w:t>
      </w:r>
    </w:p>
    <w:p>
      <w:pPr>
        <w:pStyle w:val="BookText"/>
        <w:rPr/>
      </w:pPr>
      <w:r>
        <w:rPr>
          <w:rStyle w:val="FootnoteAnchor"/>
          <w:rtl w:val="true"/>
        </w:rPr>
        <w:footnoteReference w:id="321"/>
      </w:r>
      <w:r>
        <w:rPr>
          <w:rFonts w:ascii="Amiri" w:hAnsi="Amiri" w:eastAsia="Amiri" w:cs="Amiri"/>
          <w:color w:val="111111"/>
          <w:sz w:val="28"/>
          <w:sz w:val="28"/>
          <w:szCs w:val="28"/>
          <w:rtl w:val="true"/>
          <w:lang w:bidi="ar-SA"/>
        </w:rPr>
        <w:t xml:space="preserve">فإذا شهد برؤية هلال شوّال لدى الحاكم، و ضُمَّ إليه شاهد آخر يصير موضوعاً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عدلان برؤية الهلال لدى الحاكم يحكم بأنَّ الغد عيد</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فبحكم الحاكم تثبت عيديّة الغد، فيحرز مصداق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أو تستحبّ صلاة العيد</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و هكذا، فدليل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يتكفّل إلّا التعبّد بتحقّق مبدأ السلسلة دون غيره، فإذا ترتّبت السلسلة من اللوازم و الملزومات الشرعيّة تترتّب أحكام جميع السلسلة لا لدليل الأصل، بل للكبريات المُترتّبة المُحرزة المصاديق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بالملزوم الشرعيّ ينفع بالنسبة إلى ترتيب آثار اللّازم و لازم اللّازم إذا كانت شرعيّة إلى آخر السلسلة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التعبّد باللّازم فلا ينفع بالنسبة إلى ملزومه، و لا المُلازم بالنسبة إلى مُلازمه؛ لعدم إيجاب التعبّد باللّازم أو المُلازم اندراج ملزومه أو مُلازمه تحت كبرى مجعولة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اللّوازم العاديّة أو العقليّة إذا كانت لها آثار شرعيّة لا يمكن ترتيب آثارها لأجل جريان الأصل في ملزومها، لا للانصراف، أو عدم الإطلاق، أو عدم تعقّل التعبّد لكونها تكوينيّة، أو كون المجعول فيها على نحوٍ لا يمكن ترتّب الآثار، فإنَّ كلّ ذلك خلاف التحقيق؛ بل لأنَّ ترتيب الأثر موقوف على كبرى شرعيّة يندرج الموضوع فيها كما عرفت، و ليس بالنسبة إلى الامور العاديّة أو العقليّة كبرى شرعيّة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حكم الاستصحاب بحياة زيد، يترتّب عليه ما هو آثار الحياة بحسب الكبريات الشرعيّة، و أمّا أنَّه إذا كان حيّاً نبتت لحيته، فلم يقع في دليل شرعيّ حتى</w:t>
      </w:r>
      <w:bookmarkStart w:id="245" w:name="pg2245_12802"/>
    </w:p>
    <w:p>
      <w:pPr>
        <w:pStyle w:val="BookText"/>
        <w:rPr/>
      </w:pPr>
      <w:bookmarkEnd w:id="245"/>
      <w:r>
        <w:rPr>
          <w:rFonts w:ascii="Amiri" w:hAnsi="Amiri" w:eastAsia="Amiri" w:cs="Amiri"/>
          <w:color w:val="111111"/>
          <w:sz w:val="28"/>
          <w:sz w:val="28"/>
          <w:szCs w:val="28"/>
          <w:rtl w:val="true"/>
          <w:lang w:bidi="ar-SA"/>
        </w:rPr>
        <w:t>يترتّب عليه أثره؛ لأجل تحقّق مصداق الكبرى المجعولة، فلو فرض وجود دليل شرعي يكون مفاده التعبّد بنبات اللّحية على فرض الحياة لقلنا بترتيب آثار نباتها باستصحاب الحياة من دون شبهة الامتناع أو المُثبتيّة، فتأمّل في أطراف ما ذكرنا، فإنَّه يليق بذلك</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614059_3804643083"/>
      <w:bookmarkStart w:id="247" w:name="_Toc90"/>
      <w:bookmarkEnd w:id="246"/>
      <w:r>
        <w:rPr>
          <w:rtl w:val="true"/>
        </w:rPr>
        <w:t>تتميم حول الوسائط الخفيّة</w:t>
      </w:r>
      <w:bookmarkEnd w:id="247"/>
    </w:p>
    <w:p>
      <w:pPr>
        <w:pStyle w:val="BookText"/>
        <w:rPr/>
      </w:pPr>
      <w:r>
        <w:rPr>
          <w:rFonts w:ascii="Amiri" w:hAnsi="Amiri" w:eastAsia="Amiri" w:cs="Amiri"/>
          <w:color w:val="111111"/>
          <w:sz w:val="28"/>
          <w:sz w:val="28"/>
          <w:szCs w:val="28"/>
          <w:rtl w:val="true"/>
          <w:lang w:bidi="ar-SA"/>
        </w:rPr>
        <w:t>إذا كانت الواسطة بين المُستصحب و الأثر الشرعيّ خفيّة يجري الاستصحاب و يترتّب عليه الأثر، و لا يكون من الاصول المُثبتة، و المُراد من خفاء الواسطة أنَّ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بالنظر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وساطة الواسطة في ترتّب الحكم على الموضوع، و يكون لدى العرف ثبوت الحكم للمُستصحب من غير واسطة، و إنّما يرى العقل بضرب من البرهان كون الأثر مُترتّباً على الواسطة لُبّاً، و إن كان مُترتّباً على ذي الواسطة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الموضوع للحرمة هو الخمر عرفاً، لكنّ العقل يحكم بأنَّ ترتّب الحرمة على الخمر لا يمكن إلّا لأجل مفسدة قائمة بها، تكون تلك المفسدة علّة واقعيّة للحرمة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فرض أنَّ العقل اطّلع على جميع الخصوصيّات الواقعيّة للخمر، و حكم بالدوران و الترديد أنَّ العلّة الواقعيّة للحرمة هي كونها مُسكرة مثلًا، فيحكم بأنَّ إسكار الخمر علّة لثبوت الحكم بالحرمة، ثمّ يحكم بأنَّ موضوع الحُرمة ليس هو الخمر بحسب الملاكات الواقعيّة، بل الموضوع هو المُسكر بما أنَّه مُسكر، و لمّا كان هو متّحداً في الخارج مع الخمر حكم بحرمته بحسب الظاهر، و لكن الموضوع الواقعيّ ليس إلّا حيثيّة المُسكريّة؛ لأنَّ الجهات التعليليّة هي الموضوعات الواقعيّة لدى العقل، فإذا علم أنَ</w:t>
      </w:r>
    </w:p>
    <w:p>
      <w:pPr>
        <w:pStyle w:val="BookText"/>
        <w:rPr/>
      </w:pPr>
      <w:r>
        <w:rPr>
          <w:rFonts w:ascii="Amiri" w:hAnsi="Amiri" w:eastAsia="Amiri" w:cs="Amiri"/>
          <w:color w:val="111111"/>
          <w:sz w:val="28"/>
          <w:sz w:val="28"/>
          <w:szCs w:val="28"/>
          <w:rtl w:val="true"/>
          <w:lang w:bidi="ar-SA"/>
        </w:rPr>
        <w:t>مائعاً كان خمراً سابقاً و شكّ في بقاء خمريّته، فلا إشكال في جريان استصحاب الخمريّة و ثبوت الحرمة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الخمريّة لا يثبت المُسكريّة التي هي موضوع الحكم لدى العقل إلّا بالأصل المُثبت؛ لأنَّ ترتّب الحرمة إنّما يكون على المسكر أوّلًا و بالذات، و على الخمر ثانياً و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الواسطة عقليّة خفيّة، لا يراها العرف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بخفاء الواسطة انَّ العرف يتسامح و ينسب الحكم إلى الموضوع دون الواسطة مع رؤيتها؛ لأنَّ الموضوع للأحكام الشرعيّة ليس ما يتسامح فيه العرف، بل الموضوع للحكم هو الموضوع العرفيّ حقيقة و من غير تسامح، فالدم الحقيقيّ بنظر العرف موضوع للنجاسة، فإذا تسامح و حكم على ما ليس بدم عنده أنَّه دم لا يكون موضوعاً لها، كما أنَّه لو حكم العقل بالبرهان بكون شي‌ء دماً أو ليس بدم لا يكون مُتّبعاً؛ لأنَّ الموضوع للحكم الشرعيّ ما يكون موضوعاً لدى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لا يكون في إلقاء الأحكام على الامّة إلّا كسائر الناس، و يكون في محاوراته و خطاباته كمحاورات بعض الناس بعضاً، فكما أنَّ المُقنّن العرفيّ إذا حكم بنجاسة الدم لا يكون موضوعها إلّا ما يفهمه العرف مفهوماً و مصداقاً، فلا يكون اللّون دماً عنده، و ليس موضوعاً لها، كذلك الشارع بالنسبة إلى قوانينه المُلقاة إلى العرف، فالمفهومات عرفيّة، و تشخيص مصاديقها أيضاً كذلك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وقع في كلام المُحقّق الخراسانيّ رحمه اللَّه و تبعه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تشخيص المفاهيم موكول إلى العرف، لا تشخيص مصاديقها؛ فإنَّه موكول إلى العقل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bookmarkStart w:id="248" w:name="pg2245_12806"/>
    </w:p>
    <w:p>
      <w:pPr>
        <w:pStyle w:val="BookText"/>
        <w:rPr/>
      </w:pPr>
      <w:bookmarkEnd w:id="248"/>
      <w:r>
        <w:rPr>
          <w:rFonts w:ascii="Amiri" w:hAnsi="Amiri" w:eastAsia="Amiri" w:cs="Amiri"/>
          <w:color w:val="111111"/>
          <w:sz w:val="28"/>
          <w:sz w:val="28"/>
          <w:szCs w:val="28"/>
          <w:rtl w:val="true"/>
          <w:lang w:bidi="ar-SA"/>
        </w:rPr>
        <w:t>منظور فيه؛ ضرورة أنَّ الشارع لا يكون في خطاباته إلّا كواحدٍ من العُرف، و لا يمكن أن يلتزم بأنَّ العرف في فهم موضوع أحكامه و مصاديقه لا يكون مُتّبعاً بل المُتّبع هو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 عرف في خطاباته، لا أنَّ الموضوعات مُتقيّدة بكونها عرفيّة؛ فإنَّه ضروريّ البطلان، فحينئذٍ يكون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عرفيّة، فإذا رأى العرف أنَّ القضيّة المُتيقّنة عين المشكوك فيها، و أنَّ عدم ترتّب الحكم على المشكوك فيه من نقض اليقين بالشكّ يجري الاستصحاب، و لو لم يكن بنظر العقل من نقضه به، لعدم وحدة القضيّتين لديه هذا كلّه واضح</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614061_3804643083"/>
      <w:bookmarkStart w:id="250" w:name="_Toc91"/>
      <w:bookmarkEnd w:id="249"/>
      <w:r>
        <w:rPr>
          <w:rtl w:val="true"/>
        </w:rPr>
        <w:t>حال الأمثلة التي ذكرها الشيخ</w:t>
      </w:r>
      <w:bookmarkEnd w:id="250"/>
    </w:p>
    <w:p>
      <w:pPr>
        <w:pStyle w:val="BookText"/>
        <w:rPr/>
      </w:pPr>
      <w:r>
        <w:rPr>
          <w:rFonts w:ascii="Amiri" w:hAnsi="Amiri" w:eastAsia="Amiri" w:cs="Amiri"/>
          <w:color w:val="111111"/>
          <w:sz w:val="28"/>
          <w:sz w:val="28"/>
          <w:szCs w:val="28"/>
          <w:rtl w:val="true"/>
          <w:lang w:bidi="ar-SA"/>
        </w:rPr>
        <w:t>و إنّما الكلام في الأمثلة التي ذكرها الشيخ الأعظم قدس سره، و لا يخفى أنَّ جميعها من قبيل الوسائط الغير الخفيّة، و يكون الأصل فيها مُثبتاً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قضيّة استصحاب رطوبة النجس لإثبات تنجّس ملاقيه </w:t>
      </w:r>
      <w:r>
        <w:rPr>
          <w:rStyle w:val="FootnoteAnchor"/>
          <w:rtl w:val="true"/>
        </w:rPr>
        <w:footnoteReference w:id="325"/>
      </w:r>
      <w:r>
        <w:rPr>
          <w:rFonts w:ascii="Amiri" w:hAnsi="Amiri" w:eastAsia="Amiri" w:cs="Amiri"/>
          <w:color w:val="111111"/>
          <w:sz w:val="28"/>
          <w:sz w:val="28"/>
          <w:szCs w:val="28"/>
          <w:rtl w:val="true"/>
          <w:lang w:bidi="ar-SA"/>
        </w:rPr>
        <w:t>فلأنَّ العُرف هو الذي يستفيد من الأدلّة الشرعيّة الواردة في النجاسات أنَّ التنجّس لا يكون إلّا لأجل سراية النجاسة إلى المُلاقي، فمُلاقاة الثوب للرطب لا تكون موضوعاً للحكم بالغسل عند العرف، بل الموضوع هو الثوب المُتأثّر بالنجاسة الرطبة، فاستصحاب الرطوبة لا يثبت هذا العنوان، و قد عرفت أنَّ الوسائط الخفيّة ما تكون الواسطة عقليّة لا يراها العرف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استصحاب عدم الحاجب للحكم بتحقّق الغسل </w:t>
      </w:r>
      <w:r>
        <w:rPr>
          <w:rStyle w:val="FootnoteAnchor"/>
          <w:rtl w:val="true"/>
        </w:rPr>
        <w:footnoteReference w:id="326"/>
      </w:r>
      <w:r>
        <w:rPr>
          <w:rFonts w:ascii="Amiri" w:hAnsi="Amiri" w:eastAsia="Amiri" w:cs="Amiri"/>
          <w:color w:val="111111"/>
          <w:sz w:val="28"/>
          <w:sz w:val="28"/>
          <w:szCs w:val="28"/>
          <w:rtl w:val="true"/>
          <w:lang w:bidi="ar-SA"/>
        </w:rPr>
        <w:t>مُثبت؛ لأنَّ الواسطة عرفيّة لا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استصحاب عدم هلال شوّال أو بقاء شهر رمضان لإثبات كون الغد عيداً</w:t>
      </w:r>
      <w:r>
        <w:rPr>
          <w:rStyle w:val="FootnoteAnchor"/>
          <w:rtl w:val="true"/>
        </w:rPr>
        <w:footnoteReference w:id="327"/>
      </w:r>
      <w:r>
        <w:rPr>
          <w:rFonts w:ascii="Amiri" w:hAnsi="Amiri" w:eastAsia="Amiri" w:cs="Amiri"/>
          <w:color w:val="111111"/>
          <w:sz w:val="28"/>
          <w:sz w:val="28"/>
          <w:szCs w:val="28"/>
          <w:rtl w:val="true"/>
          <w:lang w:bidi="ar-SA"/>
        </w:rPr>
        <w:t>مُثبت بلا إشكال و ريب؛ لأنَّ العيد هو اليوم الأوّل من شوّال، و الأوّلية عبارة عن مبدئية سلسلة أيّام الشهر، و هو أمر بسيط لا يثبت باستصحاب عدم حدوث شوّال أو بقاء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الأوّل مُركّباً من وجود يوم و عدم يوم مثله أو ضدّه قبله فيمكن إثباته بالوجدان و الأصل، لكن على فرض تسليمه لا يفيد ذلك بالنسبة إلى إثبات عنوان سائر الأيّام، فإثبات ثامن ذي الحجّة و تاسعه و عاشره باستصحاب عدم هلال ذي الحجّة أو بقاء ذي القعدة مُثبت؛ فإنَّ كون اليوم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مضيّ سبعة أيّام من اليوم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لا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ادّعاه بعض أعاظم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جميع أيّام الشهر بالأصل إذا قلنا بأنَّ الأوّل مُركّب </w:t>
      </w:r>
      <w:r>
        <w:rPr>
          <w:rStyle w:val="FootnoteAnchor"/>
          <w:rtl w:val="true"/>
        </w:rPr>
        <w:footnoteReference w:id="328"/>
      </w:r>
      <w:r>
        <w:rPr>
          <w:rFonts w:ascii="Amiri" w:hAnsi="Amiri" w:eastAsia="Amiri" w:cs="Amiri"/>
          <w:color w:val="111111"/>
          <w:sz w:val="28"/>
          <w:sz w:val="28"/>
          <w:szCs w:val="28"/>
          <w:rtl w:val="true"/>
          <w:lang w:bidi="ar-SA"/>
        </w:rPr>
        <w:t xml:space="preserve">فيه ما فيه، تأمّل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 كون الأوّل مركّباً ممّا ذكر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الإشكال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المُترتّبة على اليوم الأوّل، أو العيد، أو اليوم الثامن و التاسع و العاشر في أعمال الحج، و كذا سائر الأحكام المُتعلّقة بعناوين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قالبه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تصدّى لدفع الإشكال المُحقّق المُتقدّم ذكره بما لا يخلو عن غرابة، و هو</w:t>
      </w:r>
    </w:p>
    <w:p>
      <w:pPr>
        <w:pStyle w:val="BookText"/>
        <w:rPr/>
      </w:pPr>
      <w:r>
        <w:rPr>
          <w:rFonts w:ascii="Amiri" w:hAnsi="Amiri" w:eastAsia="Amiri" w:cs="Amiri"/>
          <w:color w:val="111111"/>
          <w:sz w:val="28"/>
          <w:sz w:val="28"/>
          <w:szCs w:val="28"/>
          <w:rtl w:val="true"/>
          <w:lang w:bidi="ar-SA"/>
        </w:rPr>
        <w:t>الالتزام بأنَّ اليوم الأوّل في موضوع الأحكام غير اليوم الأوّل الواقعيّ؛ فإنَّه عبارة عن يوم رؤية الهلال، أو اليوم الواحد و الثلاثين من الشهر الماضي، فالمراد من ثامن ذي الحجّة هو الثامن من رؤية الهلال، أو ما بعد انقضاء ثلاثين يوماً من ذي القعدة، سواء كان مُطابقاً للواقع أو لا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ما فيه؛ فإنَّه مُخالف للضرورة عند جميع المُسلمين، فما من مُسلم إلّا و يعلم بالضرورة أنَّ يوم عيد الفطر هو اليوم الأوّل من شوّال و يوم عيد الأضحى هو اليوم العاشر من ذي الحجّة و هكذا، مع مخالفة ما ذكر للأدلّة الشرعيّة كما يظهر بالتتبّع و مُراجعة الأخبار</w:t>
      </w:r>
      <w:r>
        <w:rPr>
          <w:rStyle w:val="FootnoteAnchor"/>
          <w:rtl w:val="true"/>
        </w:rPr>
        <w:footnoteReference w:id="331"/>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الذي يسهّل الخطب أنَّ بناء المُسلمين من صدر الإسلام إلى الآن على ترتيب آثار العيديّة على يوم رؤية الهلال، و يجعلون يوم الرؤية أو اليوم الذي بعد يوم الشكّ أو الذي بعد انقضاء ثلاثين يوماً من الشهر السابق اليوم الأوّل، و ثانيه الثاني و هكذا، لا من جهة أنَّ موضوع الحكم الشرعيّ غير الموضوع الواقعيّ؛ فإنَّه ضروريّ البطلان، بل لأنَّ هذا حُكم ظاهريّ ثابت من الصدر الأوّل إلى الآن من غير إشكال في جميع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ذلك من الأدلّة اللّفظية أيضاً بعد التتبّع،</w:t>
      </w:r>
    </w:p>
    <w:p>
      <w:pPr>
        <w:pStyle w:val="BookText"/>
        <w:rPr/>
      </w:pPr>
      <w:r>
        <w:rPr>
          <w:rFonts w:ascii="Amiri" w:hAnsi="Amiri" w:eastAsia="Amiri" w:cs="Amiri"/>
          <w:color w:val="111111"/>
          <w:sz w:val="28"/>
          <w:sz w:val="28"/>
          <w:szCs w:val="28"/>
          <w:rtl w:val="true"/>
          <w:lang w:bidi="ar-SA"/>
        </w:rPr>
        <w:t>فما نُقل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الشهر فأتمّوا العدّة شعبان ثلاثين يوماً، و صوموا الواحد و ثلاثين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أو أبي عبد اللَّه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يُصيبه ما يُصيب</w:t>
      </w:r>
      <w:bookmarkStart w:id="251" w:name="pg2245_12812"/>
    </w:p>
    <w:p>
      <w:pPr>
        <w:pStyle w:val="BookText"/>
        <w:rPr/>
      </w:pPr>
      <w:bookmarkEnd w:id="251"/>
      <w:r>
        <w:rPr>
          <w:rFonts w:ascii="Amiri" w:hAnsi="Amiri" w:eastAsia="Amiri" w:cs="Amiri"/>
          <w:color w:val="111111"/>
          <w:sz w:val="28"/>
          <w:sz w:val="28"/>
          <w:szCs w:val="28"/>
          <w:rtl w:val="true"/>
          <w:lang w:bidi="ar-SA"/>
        </w:rPr>
        <w:t>الشهور من النقصان، فإذا صمت تسعة و عشرين يوماً ثم تغيّمت السماء فأتمّ العدّة ثلاثين يوماً</w:t>
      </w:r>
      <w:r>
        <w:rPr>
          <w:rFonts w:eastAsia="Amiri" w:cs="Amiri" w:ascii="Amiri" w:hAnsi="Amiri"/>
          <w:color w:val="111111"/>
          <w:sz w:val="28"/>
          <w:szCs w:val="28"/>
          <w:rtl w:val="true"/>
          <w:lang w:bidi="ar-SA"/>
        </w:rPr>
        <w:t>)</w:t>
      </w:r>
    </w:p>
    <w:p>
      <w:pPr>
        <w:pStyle w:val="BookText"/>
        <w:rPr/>
      </w:pPr>
      <w:r>
        <w:rPr>
          <w:rStyle w:val="FootnoteAnchor"/>
          <w:rtl w:val="true"/>
        </w:rPr>
        <w:footnoteReference w:id="333"/>
      </w:r>
      <w:r>
        <w:rPr>
          <w:rFonts w:ascii="Amiri" w:hAnsi="Amiri" w:eastAsia="Amiri" w:cs="Amiri"/>
          <w:color w:val="111111"/>
          <w:sz w:val="28"/>
          <w:sz w:val="28"/>
          <w:szCs w:val="28"/>
          <w:rtl w:val="true"/>
          <w:lang w:bidi="ar-SA"/>
        </w:rPr>
        <w:t>لا يراد منها إلّا أنَّ الحكم الظاهريّ هو تكميل العدّة، فأمره بتكميل العدّة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يصيبه النقصان كسائر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كالنص على أنَّ تكميل العدّة عند احتمال الزيادة و النقصان حكم ظاهريّ، و جعل الواحد و الثلاثين يوم الصوم أو يوم الفطر أيضاً حُكم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المراد بالشهر و العيد و يوم النحر و غير ذلك من الأيّام في موضوع الأحكام ليس إلّا الأيّام الواقعيّة، كما لا إشكال في أنَّ بناء المُسلمين و الأئمّة عليهم السلام على العمل بالظاهر، و ترتيب آثار الواقع على اليوم الواحد و الثلاثين من رؤية هلال شهر شعبان أو شهر رمضان، و ترتيب آثار الأوّل عليه، و الثاني على ما بعده و هكذا</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614063_3804643083"/>
      <w:bookmarkStart w:id="253" w:name="_Toc92"/>
      <w:bookmarkEnd w:id="252"/>
      <w:r>
        <w:rPr>
          <w:rtl w:val="true"/>
        </w:rPr>
        <w:t>تذييل و يذكر فيه امور</w:t>
      </w:r>
      <w:bookmarkEnd w:id="253"/>
    </w:p>
    <w:p>
      <w:pPr>
        <w:pStyle w:val="Heading5"/>
        <w:numPr>
          <w:ilvl w:val="4"/>
          <w:numId w:val="1"/>
        </w:numPr>
        <w:rPr/>
      </w:pPr>
      <w:bookmarkStart w:id="254" w:name="__RefHeading___Toc1614065_3804643083"/>
      <w:bookmarkStart w:id="255" w:name="_Toc93"/>
      <w:bookmarkEnd w:id="254"/>
      <w:r>
        <w:rPr>
          <w:rtl w:val="true"/>
        </w:rPr>
        <w:t>الأمر الأوّل إنَّ استصحاب العنوان المنطبق على الخارج ليس بمُثبت</w:t>
      </w:r>
      <w:bookmarkEnd w:id="25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قد عرفت سابقاً</w:t>
      </w:r>
      <w:r>
        <w:rPr>
          <w:rStyle w:val="FootnoteAnchor"/>
          <w:rtl w:val="true"/>
        </w:rPr>
        <w:footnoteReference w:id="334"/>
      </w:r>
      <w:r>
        <w:rPr>
          <w:rFonts w:ascii="Amiri" w:hAnsi="Amiri" w:eastAsia="Amiri" w:cs="Amiri"/>
          <w:color w:val="111111"/>
          <w:sz w:val="28"/>
          <w:sz w:val="28"/>
          <w:szCs w:val="28"/>
          <w:rtl w:val="true"/>
          <w:lang w:bidi="ar-SA"/>
        </w:rPr>
        <w:t>أنَّ استصحاب الفرد لا يغني عن الكلّي و بالعكس، فإذا تعلّق حُكم بالإنسان، فاستصحاب بقاء زيد لا يُثبت آثار الإنسان، لا لأنَّ الفرد مُقدّمة</w:t>
      </w:r>
    </w:p>
    <w:p>
      <w:pPr>
        <w:pStyle w:val="BookText"/>
        <w:rPr/>
      </w:pPr>
      <w:r>
        <w:rPr>
          <w:rFonts w:ascii="Amiri" w:hAnsi="Amiri" w:eastAsia="Amiri" w:cs="Amiri"/>
          <w:color w:val="111111"/>
          <w:sz w:val="28"/>
          <w:sz w:val="28"/>
          <w:szCs w:val="28"/>
          <w:rtl w:val="true"/>
          <w:lang w:bidi="ar-SA"/>
        </w:rPr>
        <w:t xml:space="preserve">للكلّي </w:t>
      </w:r>
      <w:r>
        <w:rPr>
          <w:rStyle w:val="FootnoteAnchor"/>
          <w:rtl w:val="true"/>
        </w:rPr>
        <w:footnoteReference w:id="335"/>
      </w:r>
      <w:r>
        <w:rPr>
          <w:rFonts w:ascii="Amiri" w:hAnsi="Amiri" w:eastAsia="Amiri" w:cs="Amiri"/>
          <w:color w:val="111111"/>
          <w:sz w:val="28"/>
          <w:sz w:val="28"/>
          <w:szCs w:val="28"/>
          <w:rtl w:val="true"/>
          <w:lang w:bidi="ar-SA"/>
        </w:rPr>
        <w:t>فإنَّه خلاف التحقيق، بل لأنَّ حيثيّة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الاعتبار و تقدير موضوعيّة الموضوع للأحكام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حيثيّة الفرديّة و إن كان الفرد مُتّحداً مع الطبيعي خارجاً، لكن لمّا كانت العناوين الطبيعيّة موجودة بوجود الفرد لدى العرف، فإذا تعلّق حكم بعنوان يسري إلى مصداقه الخارجيّ، فإذا شكّ في بقاء العنوان للمتشخّص الخارجيّ يمكن استصحابه و ترتيب الأثر عليه، فإذا شكّ في بقاء عنوان الخمر المُنطبق على الموجود الخارجيّ يستصحب بقاء الخمر، و يترتّب عليه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استصحاب الفرد لترتيب آثار الكلّي، و بين استصحاب العنوان المُنطبق على الخارج لترتيب أثره عليه؛ فإنَّ ذلك استصحاب نفس العنوان المُتحقّق في الخارج، فهو كاستصحاب نفس الكلّي لترتيب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هاهنا اموراً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الكلّي بما أنَّه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الفرد الذي هو مُتّحد معه خارجاً، و مختلف اعتباراً و 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الكلّي المُتحقّق في الخارج المُتشخّص في العين، و يجري الاستصحاب في الأوّل و الثالث لترتيب آثار العنوان دون الثاني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الأوّل فلا كلام فيه، و أمّا في الثالث فلا ينبغي الإشكال فيه؛ لأنَّ الفرق بين العنوان الكلّي و الخارجيّ بالتشخّص و اللّاتشخص، و إلّا فنفس العنوان محفوظ، فإذا تعلّق حكم بعنوان الكرّ يكون هذا الحكم مُتعلّقاً بكلّ ما هو كرّ في الخارج بعنوان أنَّه كرّ فترتيب آثار الكرّية باستصحاب كرّية الماء الخارجيّ ممّا لا مانع منه، و أمّا استصحاب وجود المائع الخارجيّ أو 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المُتّحد مع الكرّ لترتيب آثار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إلّا على القول بالأصل المُثبت</w:t>
      </w:r>
      <w:r>
        <w:rPr>
          <w:rFonts w:eastAsia="Amiri" w:cs="Amiri" w:ascii="Amiri" w:hAnsi="Amiri"/>
          <w:color w:val="111111"/>
          <w:sz w:val="28"/>
          <w:szCs w:val="28"/>
          <w:rtl w:val="true"/>
          <w:lang w:bidi="ar-SA"/>
        </w:rPr>
        <w:t>.</w:t>
      </w:r>
      <w:bookmarkStart w:id="256" w:name="pg2245_12816"/>
    </w:p>
    <w:p>
      <w:pPr>
        <w:pStyle w:val="BookText"/>
        <w:rPr/>
      </w:pPr>
      <w:bookmarkEnd w:id="256"/>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حال العناوين المُتّحدة مع المُستصحب في الخارج ممّا هي من قبيل الخارج المحمول، كاستصحاب الوجود لترتيب الوحدة أو التشخّص؛ فإنَّ ذلك مُثبت أيضاً، فضلًا عمّا هو من قبيل المحمول بالضميمة كالملكيّة و الغصبيّة و السواد و البياض؛ فإنَّ كلّ ذلك من قبيل المحمول بالضميمة، إلّا أنَّ الضميمة في الأوّلين من الاعتبارات العقلائيّة، بخلاف الأخيرين فإنَّهما من الأعراض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ادّعاه المُحقّق الخراسانيّ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المحمول بالضميمة و الخارج المحمول </w:t>
      </w:r>
      <w:r>
        <w:rPr>
          <w:rStyle w:val="FootnoteAnchor"/>
          <w:rtl w:val="true"/>
        </w:rPr>
        <w:footnoteReference w:id="336"/>
      </w:r>
      <w:r>
        <w:rPr>
          <w:rFonts w:ascii="Amiri" w:hAnsi="Amiri" w:eastAsia="Amiri" w:cs="Amiri"/>
          <w:color w:val="111111"/>
          <w:sz w:val="28"/>
          <w:sz w:val="28"/>
          <w:szCs w:val="28"/>
          <w:rtl w:val="true"/>
          <w:lang w:bidi="ar-SA"/>
        </w:rPr>
        <w:t>، ففيه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تمثيله للخارج المحمول بالملكيّة و الغصبيّة</w:t>
      </w:r>
      <w:r>
        <w:rPr>
          <w:rStyle w:val="FootnoteAnchor"/>
          <w:rtl w:val="true"/>
        </w:rPr>
        <w:footnoteReference w:id="337"/>
      </w:r>
      <w:r>
        <w:rPr>
          <w:rFonts w:ascii="Amiri" w:hAnsi="Amiri" w:eastAsia="Amiri" w:cs="Amiri"/>
          <w:color w:val="111111"/>
          <w:sz w:val="28"/>
          <w:sz w:val="28"/>
          <w:szCs w:val="28"/>
          <w:rtl w:val="true"/>
          <w:lang w:bidi="ar-SA"/>
        </w:rPr>
        <w:t>مناقشة، بل قد يكون في بعض المحمولات بالضميمة ممّا لا يكون بنظر العرف كذلك فيجري الاستصحاب لكونه من الوسائط الخفيّة</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614067_3804643083"/>
      <w:bookmarkStart w:id="258" w:name="_Toc94"/>
      <w:bookmarkEnd w:id="257"/>
      <w:r>
        <w:rPr>
          <w:rtl w:val="true"/>
        </w:rPr>
        <w:t>الأمر الثاني استصحاب الأحكام الوضعيّة</w:t>
      </w:r>
      <w:bookmarkEnd w:id="258"/>
    </w:p>
    <w:p>
      <w:pPr>
        <w:pStyle w:val="BookText"/>
        <w:rPr/>
      </w:pPr>
      <w:r>
        <w:rPr>
          <w:rFonts w:ascii="Amiri" w:hAnsi="Amiri" w:eastAsia="Amiri" w:cs="Amiri"/>
          <w:color w:val="111111"/>
          <w:sz w:val="28"/>
          <w:sz w:val="28"/>
          <w:szCs w:val="28"/>
          <w:rtl w:val="true"/>
          <w:lang w:bidi="ar-SA"/>
        </w:rPr>
        <w:t xml:space="preserve">لا إشكال في جريان الاستصحاب في الأحكام الوضعيّة كجريانه في الأحكام التكليفيّة؛ لما تقدّم </w:t>
      </w:r>
      <w:r>
        <w:rPr>
          <w:rStyle w:val="FootnoteAnchor"/>
          <w:rtl w:val="true"/>
        </w:rPr>
        <w:footnoteReference w:id="338"/>
      </w:r>
      <w:r>
        <w:rPr>
          <w:rFonts w:ascii="Amiri" w:hAnsi="Amiri" w:eastAsia="Amiri" w:cs="Amiri"/>
          <w:color w:val="111111"/>
          <w:sz w:val="28"/>
          <w:sz w:val="28"/>
          <w:szCs w:val="28"/>
          <w:rtl w:val="true"/>
          <w:lang w:bidi="ar-SA"/>
        </w:rPr>
        <w:t>من أنَّ الوضعيّات بأقسامها ممّا يتعلّق بها الجعل مُستقلّاً، و لو فرض عدم تعلّقه بها إلّا بمنشئها</w:t>
      </w:r>
      <w:r>
        <w:rPr>
          <w:rStyle w:val="FootnoteAnchor"/>
          <w:rtl w:val="true"/>
        </w:rPr>
        <w:footnoteReference w:id="339"/>
      </w:r>
      <w:r>
        <w:rPr>
          <w:rFonts w:ascii="Amiri" w:hAnsi="Amiri" w:eastAsia="Amiri" w:cs="Amiri"/>
          <w:color w:val="111111"/>
          <w:sz w:val="28"/>
          <w:sz w:val="28"/>
          <w:szCs w:val="28"/>
          <w:rtl w:val="true"/>
          <w:lang w:bidi="ar-SA"/>
        </w:rPr>
        <w:t>فلا إشكال أيضاً في جريانه فيها؛ لكون وضعها و رفعها بيد الشارع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الإشكال في أنَّ استصحاب وجود الشرط، أو عدم المانع، أو عدم الشرط،</w:t>
      </w:r>
    </w:p>
    <w:p>
      <w:pPr>
        <w:pStyle w:val="BookText"/>
        <w:rPr/>
      </w:pPr>
      <w:r>
        <w:rPr>
          <w:rFonts w:ascii="Amiri" w:hAnsi="Amiri" w:eastAsia="Amiri" w:cs="Amiri"/>
          <w:color w:val="111111"/>
          <w:sz w:val="28"/>
          <w:sz w:val="28"/>
          <w:szCs w:val="28"/>
          <w:rtl w:val="true"/>
          <w:lang w:bidi="ar-SA"/>
        </w:rPr>
        <w:t>أو وجود المانع هل يجري لإحراز وجود قيد المُكلّف به أو عدمه؟ فاستصحاب الوضوء يحرز كون الصلاة مُتقيّدة بالطهارة، و استصحاب عدم لابسيّة غير المأكول يحرز كون الصلاة بلا مانع، و استصحاب عدم الشرط أو وجود المانع يحرز أنَّ الصلاة وجدت غير مُقيّدة بوجود الشرط أو وُجدت مع المانع أو لا، أو يفصّل بين استصحاب الشرط و عدم المانع، فيحرز الأوّل دون الثاني؟</w:t>
      </w:r>
    </w:p>
    <w:p>
      <w:pPr>
        <w:pStyle w:val="BookText"/>
        <w:rPr/>
      </w:pPr>
      <w:r>
        <w:rPr>
          <w:rFonts w:ascii="Amiri" w:hAnsi="Amiri" w:eastAsia="Amiri" w:cs="Amiri"/>
          <w:color w:val="111111"/>
          <w:sz w:val="28"/>
          <w:sz w:val="28"/>
          <w:szCs w:val="28"/>
          <w:rtl w:val="true"/>
          <w:lang w:bidi="ar-SA"/>
        </w:rPr>
        <w:t>و ما النكتة في أنَّ جريان استصحاب الوضوء</w:t>
      </w:r>
      <w:r>
        <w:rPr>
          <w:rStyle w:val="FootnoteAnchor"/>
          <w:rtl w:val="true"/>
        </w:rPr>
        <w:footnoteReference w:id="340"/>
      </w:r>
      <w:r>
        <w:rPr>
          <w:rFonts w:ascii="Amiri" w:hAnsi="Amiri" w:eastAsia="Amiri" w:cs="Amiri"/>
          <w:color w:val="111111"/>
          <w:sz w:val="28"/>
          <w:sz w:val="28"/>
          <w:szCs w:val="28"/>
          <w:rtl w:val="true"/>
          <w:lang w:bidi="ar-SA"/>
        </w:rPr>
        <w:t xml:space="preserve">و طهارة الثوب ممّا لم يقع فيهما إشكال، و أمّا استصحاب عدم لابسيّة غير المأكول صار مورداً للنقض و الإبرام </w:t>
      </w:r>
      <w:r>
        <w:rPr>
          <w:rStyle w:val="FootnoteAnchor"/>
          <w:rtl w:val="true"/>
        </w:rPr>
        <w:footnoteReference w:id="341"/>
      </w:r>
      <w:r>
        <w:rPr>
          <w:rFonts w:ascii="Amiri" w:hAnsi="Amiri" w:eastAsia="Amiri" w:cs="Amiri"/>
          <w:color w:val="111111"/>
          <w:sz w:val="28"/>
          <w:sz w:val="28"/>
          <w:szCs w:val="28"/>
          <w:rtl w:val="true"/>
          <w:lang w:bidi="ar-SA"/>
        </w:rPr>
        <w:t>، مع أنَّ الطهارة الحدثيّة من قيود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الطهارة الخبثيّة من قيودها، أو النجاسة من موانعها؟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من شرائط المُصلّي لا الصلاة، و عدم المأكوليّة من موانع الصلاة بحسب الأدلّة</w:t>
      </w:r>
      <w:r>
        <w:rPr>
          <w:rStyle w:val="FootnoteAnchor"/>
          <w:rtl w:val="true"/>
        </w:rPr>
        <w:footnoteReference w:id="342"/>
      </w:r>
      <w:r>
        <w:rPr>
          <w:rFonts w:ascii="Amiri" w:hAnsi="Amiri" w:eastAsia="Amiri" w:cs="Amiri"/>
          <w:color w:val="111111"/>
          <w:sz w:val="28"/>
          <w:sz w:val="28"/>
          <w:szCs w:val="28"/>
          <w:rtl w:val="true"/>
          <w:lang w:bidi="ar-SA"/>
        </w:rPr>
        <w:t xml:space="preserve">فإحراز طهارة المُصلّي بالاستصحاب يكفي لصحّة صلاته، لكنّ استصحاب عدم لابسيّة المُصلّي لغير المأكول لا يثبت تقيّد الصلاة بعدم كونها مع المانع إلّا بالأصل المُثبت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لأنَّ الصلاة لو لم تتقيّد بالطهارة يلزم أن تصحّ مع عدم الطهارة و لو عمداً، و لم يلتزم به أحد، و لو كانت الطهارة عنواناً للمصلّي كالاستطاعة للزم عدم وجوب الصلاة مع عدم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ظاهر الأدلّة أيضاً يقتضي اشتراط الصلاة بها كقوله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w:t>
      </w:r>
    </w:p>
    <w:p>
      <w:pPr>
        <w:pStyle w:val="BookText"/>
        <w:rPr/>
      </w:pPr>
      <w:r>
        <w:rPr>
          <w:rFonts w:ascii="Amiri" w:hAnsi="Amiri" w:eastAsia="Amiri" w:cs="Amiri"/>
          <w:color w:val="111111"/>
          <w:sz w:val="28"/>
          <w:sz w:val="28"/>
          <w:szCs w:val="28"/>
          <w:rtl w:val="true"/>
          <w:lang w:bidi="ar-SA"/>
        </w:rPr>
        <w:t>إلّا بطهور</w:t>
      </w:r>
      <w:r>
        <w:rPr>
          <w:rFonts w:eastAsia="Amiri" w:cs="Amiri" w:ascii="Amiri" w:hAnsi="Amiri"/>
          <w:color w:val="111111"/>
          <w:sz w:val="28"/>
          <w:szCs w:val="28"/>
          <w:rtl w:val="true"/>
          <w:lang w:bidi="ar-SA"/>
        </w:rPr>
        <w:t>)</w:t>
      </w:r>
    </w:p>
    <w:p>
      <w:pPr>
        <w:pStyle w:val="BookText"/>
        <w:rPr/>
      </w:pPr>
      <w:r>
        <w:rPr>
          <w:rStyle w:val="FootnoteAnchor"/>
          <w:rtl w:val="true"/>
        </w:rPr>
        <w:footnoteReference w:id="344"/>
      </w:r>
      <w:r>
        <w:rPr>
          <w:rFonts w:ascii="Amiri" w:hAnsi="Amiri" w:eastAsia="Amiri" w:cs="Amiri"/>
          <w:color w:val="111111"/>
          <w:sz w:val="28"/>
          <w:sz w:val="28"/>
          <w:szCs w:val="28"/>
          <w:rtl w:val="true"/>
          <w:lang w:bidi="ar-SA"/>
        </w:rPr>
        <w:t xml:space="preserve">و ظاهر الأدلّة الواردة في النهي عن الصلاة في النجس </w:t>
      </w:r>
      <w:r>
        <w:rPr>
          <w:rStyle w:val="FootnoteAnchor"/>
          <w:rtl w:val="true"/>
        </w:rPr>
        <w:footnoteReference w:id="345"/>
      </w:r>
      <w:r>
        <w:rPr>
          <w:rFonts w:ascii="Amiri" w:hAnsi="Amiri" w:eastAsia="Amiri" w:cs="Amiri"/>
          <w:color w:val="111111"/>
          <w:sz w:val="28"/>
          <w:sz w:val="28"/>
          <w:szCs w:val="28"/>
          <w:rtl w:val="true"/>
          <w:lang w:bidi="ar-SA"/>
        </w:rPr>
        <w:t>، كالأدلّة الواردة في عدم جوازها في غير المأكول من غير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في التخلّص من الأصل المُثبت كما ذكرنا أن يصير المُستصحب مُندرجاً تحت كبرى شرعيّة، فإذا استصحبت الطهارة الخبثيّة أو الحدثيّة يصير الموضوع مُندرجاً تحت الكبرى المُستفادة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 المُستفاد منه أنَّ الصلاة مُتحقّقة بالطهور بعد حفظ سائر الجهات، فإذا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تتحقّق بالطهور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دليل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الطهور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بصحّة الصلاة المُتحقّقة مع الطهور الاستصحابيّ، و يجوز الاكتفاء بالصلاة معه، و كذا فيما إذا كان لابساً لغير المأكول يحرز فساد صلاته؛ فإنَّ استصحاب لابسيّة وَبَر غير المأكول ممّا يندرج الموضوع 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وَبَر غير المأكول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استصحاب عدم لابسيّة غير المأكول فممّا لا يندرج به الموضوع تحت كبرى شرعيّة؛ لعدم ورود دليل شرعيّ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مُتحقّقة إذا لم تكن في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أمر عقليّ ينتزع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كلّ شي‌ءٍ من غير المأكول 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فيحكم العقل بأنَّ الصلاة إذا وجدت في غير ذلك لا تكون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لا يخلو من نظر؛ 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بصدد جعل شرطيّة الطهور للصلاة، أو الإرشاد إليها، و مثل قوله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وَبَر ما لا يؤكل 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إنّما هو بصدد جعل المانعيّة</w:t>
      </w:r>
      <w:bookmarkStart w:id="259" w:name="pg2245_12823"/>
    </w:p>
    <w:p>
      <w:pPr>
        <w:pStyle w:val="BookText"/>
        <w:rPr/>
      </w:pPr>
      <w:bookmarkEnd w:id="259"/>
      <w:r>
        <w:rPr>
          <w:rFonts w:ascii="Amiri" w:hAnsi="Amiri" w:eastAsia="Amiri" w:cs="Amiri"/>
          <w:color w:val="111111"/>
          <w:sz w:val="28"/>
          <w:sz w:val="28"/>
          <w:szCs w:val="28"/>
          <w:rtl w:val="true"/>
          <w:lang w:bidi="ar-SA"/>
        </w:rPr>
        <w:t>أو الإرشاد إليها، و أمّا صحّة الصلاة أو تحقّقها مع وجود الشرط أو فسادها و عدم تحقّقها مع وجود المانع فعقليّ لا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وَبَر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يستفاد منه الوضع، لكن ليس مفاده إلّا النهي عن الصلاة فيما لا يؤكل، و لا شكّ في أنَّه كبرى شرعيّة مُتلقّاة من الشارع ينتزع العقل منها الشرطيّة، فإذا ضمّ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الملبوس ممّا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يستنتج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تصلّ فيه، و أنَّ الصلاة فيه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أنَّ الصلاة مع الطهور صلاة و إن ينتزع منه الشرطيّة، لكن لا تكون هذه الكبرى ساقطة، و ليست الشرطيّة فيها و لا المانعية في السابقة مفاد الاولى منهما، بل مفاد ذلك أنَّ الصلاة مع الطهور صلاة، فإذا ضمّ إليه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المُستفاد منه أنَّ الطهور مُتحقّق يستنتج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مع هذا الطهور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 الدليلين توسعة نطاق الشرط، و كذا في جانب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لرفع اليد عن 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في هذا الوَبَر الاستصحابيّ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 الطهور الاستصحابيّ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أنَّ الدليلين يُستفاد منهما الشرطيّة أو المانعية</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614069_3804643083"/>
      <w:bookmarkStart w:id="261" w:name="_Toc95"/>
      <w:bookmarkEnd w:id="260"/>
      <w:r>
        <w:rPr>
          <w:rtl w:val="true"/>
        </w:rPr>
        <w:t>الأمر الثالث جريان الأصل بلحاظ الأثر العدميّ</w:t>
      </w:r>
      <w:bookmarkEnd w:id="261"/>
    </w:p>
    <w:p>
      <w:pPr>
        <w:pStyle w:val="BookText"/>
        <w:rPr/>
      </w:pPr>
      <w:r>
        <w:rPr>
          <w:rFonts w:ascii="Amiri" w:hAnsi="Amiri" w:eastAsia="Amiri" w:cs="Amiri"/>
          <w:color w:val="111111"/>
          <w:sz w:val="28"/>
          <w:sz w:val="28"/>
          <w:szCs w:val="28"/>
          <w:rtl w:val="true"/>
          <w:lang w:bidi="ar-SA"/>
        </w:rPr>
        <w:t>قد مرّ في مطاوي المباحث السالفة</w:t>
      </w:r>
      <w:r>
        <w:rPr>
          <w:rStyle w:val="FootnoteAnchor"/>
          <w:rtl w:val="true"/>
        </w:rPr>
        <w:footnoteReference w:id="347"/>
      </w:r>
      <w:r>
        <w:rPr>
          <w:rFonts w:ascii="Amiri" w:hAnsi="Amiri" w:eastAsia="Amiri" w:cs="Amiri"/>
          <w:color w:val="111111"/>
          <w:sz w:val="28"/>
          <w:sz w:val="28"/>
          <w:szCs w:val="28"/>
          <w:rtl w:val="true"/>
          <w:lang w:bidi="ar-SA"/>
        </w:rPr>
        <w:t>أنَّ الظاهر من الكبرى المجعولة في باب الاستصحاب؛ أي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اعتبار بقاء اليقين، و أنه لمّا كان</w:t>
      </w:r>
      <w:bookmarkStart w:id="262" w:name="pg2245_12825"/>
    </w:p>
    <w:p>
      <w:pPr>
        <w:pStyle w:val="BookText"/>
        <w:rPr/>
      </w:pPr>
      <w:bookmarkEnd w:id="262"/>
      <w:r>
        <w:rPr>
          <w:rFonts w:ascii="Amiri" w:hAnsi="Amiri" w:eastAsia="Amiri" w:cs="Amiri"/>
          <w:color w:val="111111"/>
          <w:sz w:val="28"/>
          <w:sz w:val="28"/>
          <w:szCs w:val="28"/>
          <w:rtl w:val="true"/>
          <w:lang w:bidi="ar-SA"/>
        </w:rPr>
        <w:t>أمراً مُبرَماً كأنَّه حبل مشدود بين المُتيقّن و المُتعلّق لا ينقض بالشكّ الذي لا استحكام فيه؛ لكونه حالة ترديديّة، فلا ينبغي أن ينقض الأمر المُستحكم المُبرَم بالأمر الغير المُبرم، و لعلّ هذا سرّ التعبير بقوله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ينبغي لك أن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من الدليل هو اعتبار بقاء اليقين في عالم التشريع، و يحكم العقل تخلّصاً عن اللغوية بأنَّ الجعل الشرعيّ لا بدّ له من اثر يكون تحت يد الشارع، و يترتّب على هذا الاعتبار، لكن لا يلزم أن يكون الأثر أمراً وجوديّاً و لا أثراً عمليّاً، بل لو ترتّب عليه عدم لزوم العمل أو جواز ترك الإتيان فلا مانع منه، و ليس في أدلّة الاستصحاب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في الأثر الوجوديّ، و ترك العمل ليس عملًا، و عدم ترتيب الأثر ليس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بالنقض هو النقض العمليّ </w:t>
      </w:r>
      <w:r>
        <w:rPr>
          <w:rStyle w:val="FootnoteAnchor"/>
          <w:rtl w:val="true"/>
        </w:rPr>
        <w:footnoteReference w:id="348"/>
      </w:r>
      <w:r>
        <w:rPr>
          <w:rFonts w:ascii="Amiri" w:hAnsi="Amiri" w:eastAsia="Amiri" w:cs="Amiri"/>
          <w:color w:val="111111"/>
          <w:sz w:val="28"/>
          <w:sz w:val="28"/>
          <w:szCs w:val="28"/>
          <w:rtl w:val="true"/>
          <w:lang w:bidi="ar-SA"/>
        </w:rPr>
        <w:t>، إن كان المُراد منه أنَّ مفهوم العمل مأخوذ في الدليل فهو ظاهر الفساد، و إن كان المُراد أنَّه لا بدّ في الجعل من أثر يكون تحت يد الشارع لئلّا تلزم اللّغويّة فهو حقّ، لكنّ رفع الكلفة عن المُكلّف و عدم إلزامه بالعمل و أمثال ذلك ممّا تُخْرج الجعل عن اللّغوية، فاستصحاب عدم التكليف و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استصحاب عدم الموضوعات لرفع الآثار المجعولة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مانع منه، تأمّل</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1614071_3804643083"/>
      <w:bookmarkStart w:id="264" w:name="_Toc96"/>
      <w:bookmarkEnd w:id="263"/>
      <w:r>
        <w:rPr>
          <w:rtl w:val="true"/>
        </w:rPr>
        <w:t>الأمر الرابع أثر الحكم الأعمّ من الواقعي و الظاهري</w:t>
      </w:r>
      <w:bookmarkEnd w:id="26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اشتهر بين الأعلام أنَّ الأثر الغير الشرعيّ و الشرعيّ بواسطة أمر غير شرعيّ لا يترتّب على المُستصحب إذا كان له واقعاً، و أمّا إذا كان للحكم الأعمّ من الواقعيّ</w:t>
      </w:r>
      <w:bookmarkStart w:id="265" w:name="pg2245_12827"/>
    </w:p>
    <w:p>
      <w:pPr>
        <w:pStyle w:val="BookText"/>
        <w:rPr/>
      </w:pPr>
      <w:bookmarkEnd w:id="265"/>
      <w:r>
        <w:rPr>
          <w:rFonts w:ascii="Amiri" w:hAnsi="Amiri" w:eastAsia="Amiri" w:cs="Amiri"/>
          <w:color w:val="111111"/>
          <w:sz w:val="28"/>
          <w:sz w:val="28"/>
          <w:szCs w:val="28"/>
          <w:rtl w:val="true"/>
          <w:lang w:bidi="ar-SA"/>
        </w:rPr>
        <w:t xml:space="preserve">و الظاهريّ فيترتّب عليه؛ لتحقّق موضوعه الحقيقيّ وجداناً، فوجوب الموافقة و حرمة المخالفة و استحقاق العقوبة من الآثار العقليّة التي تترتّب على الحكم الاستصحابيّ؛ لكونها من آثار الحكم سواءً كان بخطاب استصحابيّ أو خطاب واقعيّ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ما فيه من التسامح؛ لأنَّ حُرمة المخالفة و وجوب المُوافقة و استحقاق العُقوبة كلّها من آثار الحكم الواقعيّ عقلًا، و أمّا الأحكام الظاهريّة فليست في موافقتها و لا مخالفتها من حيث هي شي‌ءٌ؛ لأنّها أحكام طريقيّة للتحفّظ على الواقع، فخطاب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ليس من الخطابات النفسيّة التي يحكم العقل بوجوب موافقتها و حُرمة مخالفتها من حيث هي، و لا يكون في موافقتها ثواب، و لا في مخالفتها عقاب إلّا انقياداً أو تجرّياً، و إنّما يحكم العقل بلزوم الإتيان بمؤدّياتها لكونها حُجّة على الواقع، فيحكم العقل من باب الاحتياط بلزوم موافقتها، لا لكونها أحكاماً ظاهريّة؛ بل لاحتمال انطباقها على الواقع، فاستحقاق العقوبة إنّما هو على مخالفة الواقع لا الحكم الظاهريّ</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614073_3804643083"/>
      <w:bookmarkStart w:id="267" w:name="_Toc97"/>
      <w:bookmarkEnd w:id="266"/>
      <w:r>
        <w:rPr>
          <w:rtl w:val="true"/>
        </w:rPr>
        <w:t>التنبيه السابع في مجهولي التاريخ</w:t>
      </w:r>
      <w:bookmarkEnd w:id="267"/>
    </w:p>
    <w:p>
      <w:pPr>
        <w:pStyle w:val="Heading4"/>
        <w:numPr>
          <w:ilvl w:val="3"/>
          <w:numId w:val="1"/>
        </w:numPr>
        <w:rPr/>
      </w:pPr>
      <w:bookmarkStart w:id="268" w:name="__RefHeading___Toc1614075_3804643083"/>
      <w:bookmarkStart w:id="269" w:name="_Toc98"/>
      <w:bookmarkEnd w:id="268"/>
      <w:r>
        <w:rPr>
          <w:rtl w:val="true"/>
        </w:rPr>
        <w:t>اشارة</w:t>
      </w:r>
      <w:bookmarkEnd w:id="26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جريان الاستصحاب مع الشكّ في أصل تحقّق شي‌ء، و لا في جريانه مع الشكّ في تقدّمه و تأخّره بالنسبة إلى أجزاء الزمان، فإذا شكّ في تحقّقه يوم الخميس أو الجمعة يحكم بعدم وجوده إلى يوم الجمعة إذا كان الأثر مُترتّباً على عدمه كذلك،</w:t>
      </w:r>
    </w:p>
    <w:p>
      <w:pPr>
        <w:pStyle w:val="BookText"/>
        <w:rPr/>
      </w:pPr>
      <w:r>
        <w:rPr>
          <w:rFonts w:ascii="Amiri" w:hAnsi="Amiri" w:eastAsia="Amiri" w:cs="Amiri"/>
          <w:color w:val="111111"/>
          <w:sz w:val="28"/>
          <w:sz w:val="28"/>
          <w:szCs w:val="28"/>
          <w:rtl w:val="true"/>
          <w:lang w:bidi="ar-SA"/>
        </w:rPr>
        <w:t>لا على حدوثه فيه أو تأخّره عن يوم الخميس،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و الكلام فيما إذا لوحظ بالنسبة إلى حادث آخر؛ كما إذا علم حدوث الكرّية و المُلاقاة و شكّ في المُتقدّم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الحادثين إمّا أن يكونا مجهولي التاريخ أو أحدهما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جريانه إذا كان الأثر مُترتّباً على عدم تقدّم أحدهما على الآخر أو مُقارنته له بنحو كان التامّة، فاستصحاب عدم تحقّق عنوان تقدّم دخول زيد على عمرو في البيت جارٍ كاستصحاب سائر العناوين المتضايفة معه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إشكال في جريانه إذا كان الأثر مُترتّباً على سلب اتصاف أحدهما بأحد العناوين على نحو كان الناقصة، فاستصحاب أنَّ زيداً لم يكن مُقدّماً على عمرو في دخول البيت ممّا لا مانع منه؛ لتماميّة أركانه، فإنَّه قبل دخولهما يصدق أنَّ زيداً لم يكن مُقدّماً على عمرو في الدخول بنحو السلب المُحصّل الصادق مع نفي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كان الأثر مُترتّباً على تقدّم دخول زيد على عمرو بنحو كان الناقصة، فيستصحب عدم كون زيد مُقدّماً على عمرو لسلب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الأصل إذا كان الأثر مُترتّباً على الثبوت المُتّصف بالعدم في زمان حدوث الآخر، فإذا كان الأثر مُترتّباً على الكرّية المُتّصفة بعدم حدوثها في زمان المُلاقاة، فلا يمكن إثبات هذا العنوان بأصالة عدم حدوثها إلى زمان المُلاقاة إلّا بالأصل المُثبت؛ لأنَّ الكرّية الكذائيّة ليست لها حالة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الأثر مُترتّباً على نفس عدم كلّ منهما في زمان حدوث الآخر فالظاهر جريانه، فاستصحاب عدم عقد الجدّ للصغيرة في زمان عقد الأب جارٍ و معارض لاستصحاب عدم عقد الأب لها في زمان عقد الجدّ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اختار المُحقّق الخراساني رحمه اللَّه عدم الجريان في هذه الصورة؛ لعدم إحراز</w:t>
      </w:r>
      <w:bookmarkStart w:id="270" w:name="pg2245_12832"/>
    </w:p>
    <w:p>
      <w:pPr>
        <w:pStyle w:val="BookText"/>
        <w:rPr/>
      </w:pPr>
      <w:bookmarkEnd w:id="270"/>
      <w:r>
        <w:rPr>
          <w:rFonts w:ascii="Amiri" w:hAnsi="Amiri" w:eastAsia="Amiri" w:cs="Amiri"/>
          <w:color w:val="111111"/>
          <w:sz w:val="28"/>
          <w:sz w:val="28"/>
          <w:szCs w:val="28"/>
          <w:rtl w:val="true"/>
          <w:lang w:bidi="ar-SA"/>
        </w:rPr>
        <w:t xml:space="preserve">اتصال زمان الشكّ باليقين </w:t>
      </w:r>
      <w:r>
        <w:rPr>
          <w:rStyle w:val="FootnoteAnchor"/>
          <w:rtl w:val="true"/>
        </w:rPr>
        <w:footnoteReference w:id="350"/>
      </w:r>
      <w:r>
        <w:rPr>
          <w:rFonts w:ascii="Amiri" w:hAnsi="Amiri" w:eastAsia="Amiri" w:cs="Amiri"/>
          <w:color w:val="111111"/>
          <w:sz w:val="28"/>
          <w:sz w:val="28"/>
          <w:szCs w:val="28"/>
          <w:rtl w:val="true"/>
          <w:lang w:bidi="ar-SA"/>
        </w:rPr>
        <w:t>، و قبل تقرير كلامه لا بدّ من بيان ضابط عدم اتصال زمان الشكّ باليقين المانع من جريان الاستصحاب</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614077_3804643083"/>
      <w:bookmarkStart w:id="272" w:name="_Toc99"/>
      <w:bookmarkEnd w:id="271"/>
      <w:r>
        <w:rPr>
          <w:rtl w:val="true"/>
        </w:rPr>
        <w:t>ضابط اتصال زمان الشكّ باليقين</w:t>
      </w:r>
      <w:bookmarkEnd w:id="272"/>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اتصال زمانه به أن لا يتخلّل بين اليقين المُتعلّق بشي‌ء و بين الشكّ في بقائه يقين آخر مضادّ له، فإنَّه مع تخلّل اليقين المُضادّ لا يعقل الشكّ في البقاء، فعدم جريان الاستصحاب؛ لعدم اتصال زمان الشكّ باليقين، و لعدم صدق نقض اليقين بالشكّ بالنسبة إلى اليقين الأوّل، بل يصدق نقض اليقين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يعقل الشكّ في عدم اتصالهما، بحيث يصير الإنسان شاكاً في تخلّل يقين بالضدّ بين اليقين السابق و الشكّ اللّاحق فعلًا؛ لأنَّ الملاك أن يكون حين الجريان شاكاً و مُتيقّناً و مُتّصلًا زمانُ شكّه بيقينه بحسب حاله فعلًا، و لا يمكن أن يكون الإنسان شاكّاً في أنَّ له يقيناً بأمر كذائيّ أو لا، اللّهمّ إلّا بعض أهل الوسوسة الشاكّين في وجدانيّاتهم، و هو خارج عن محلّ الكلام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المُكلّف بأنَّه كان مُجنباً في أوّل النّهار، و صار مُتطهّراً منها جزماً، ثمّ رأى في ثوبه منيّاً، و علم إجمالًا بأنَّه إمّا من جنابته التي قطع بارتفاعها بالغسل، أو من جنابة جديدة يكون إجراء استصحاب الجنابة المقطوعة الموجبة لتلويث الثوب ممنوعاً؛ لعدم إحراز اتصال زمان الشكّ باليقين، لأنَّ الجنابة أمرها دائر بين التي قطع بزوالها و بين التي قطع ببقائها، فيحتمل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زمان الشكّ، و اليقين بحصول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بيقين بزوالها، فهذا من قبيل عدم إحراز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علم تفصيلًا بكون شاة معيّنة موطوءة، و اخرى غير موطوءة، و عرض له الشكّ بواسطة ظلمة و شبهها، فاستصحاب عدم الموطوئيّة المعلوم سابقاً قبل عروض الوطي لا يجري؛ لعدم إحراز اتصال زمان الشكّ باليقين، لاحتمال تخلّل اليقين بالضدّ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أمثاله من قبيل الشبهة المصداقيّة لدليل الاستصحاب؛ للشكّ في أنّها من نقض اليقين بالشكّ أو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شي‌ء ممّا ذكر من قبيل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إجراء الاستصحاب فيه ليس لعدم إحراز الاتصال، بل لعدم اليقين السابق لا تفصيلًا و لا إجمالًا، أمّا الأوّل فواضح، و أمّا الثاني فلأنَّ كون هذا المنيّ في الثوب من جنابة معلومة بالتفصيل أو الإجمال ممّا لا أثر له، بل الأثر مُترتّب على العلم بكون المُكلّف كان جنباً تفصيلًا أو إجمالًا فشكّ في بقائها، و المفروض أنَّه يعلم تفصيلًا بحصول جنابة له أوّل النهار و زوالها بالغسل بعده، و يشكّ بَدْواً في حصول جنابة جديدة له، فأين العلم الإجماليّ حتّى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الإجماليّ ممّا لا أثر له، و ما له أثر لا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بكونه جُنباً بعد خروج الأثر المُردّد و لم يعلم بارتفاعها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الاستصحاب الشخصيّ فيه؛ لدوران الشخص بين جنابة أوّل النهار و جنابة بعد الزوال، و الاولى مقطوعة الزوال، و الثانية مُحتملة الحدوث، فعدم الجريان لعدم تماميّة أركانه في شي‌ءٍ منهما، و لا الكليّ؛ للعلم بعدم الاتصال في المثال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حدوث جنابة عند ارتفاع الاولى يكون من القسم الثالث، و لو اشتهى أحد أن يمثّل لعدم إحراز الاتصال فله أن يقول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حدوث جنابة، و احتمل كون المُحتمل حادثاً عند زوال الاولى بلا فصل، و احتمل الفصل فإنَ</w:t>
      </w:r>
    </w:p>
    <w:p>
      <w:pPr>
        <w:pStyle w:val="BookText"/>
        <w:rPr/>
      </w:pPr>
      <w:r>
        <w:rPr>
          <w:rFonts w:ascii="Amiri" w:hAnsi="Amiri" w:eastAsia="Amiri" w:cs="Amiri"/>
          <w:color w:val="111111"/>
          <w:sz w:val="28"/>
          <w:sz w:val="28"/>
          <w:szCs w:val="28"/>
          <w:rtl w:val="true"/>
          <w:lang w:bidi="ar-SA"/>
        </w:rPr>
        <w:t>عدم جريان الكلّي في الفرض لعدم إحراز الاتصال بمعنى لا بالمعنى المُتقدّم، فتدبّر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يعتبر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 من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كون الشكّ في البقاء، و قد سبق منّا اعتبار ذلك و استفادته من أدلّته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المُعتبر فيه هو إحراز كون الشكّ في البقاء، لا إحراز البقاء؛ فإنَّه منافٍ للاستصحاب، و مع احتمال حدوث مصداق آخر مقارناً يحرز الشكّ في البقاء، و إن احتمل الانفصال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 واحدة من الشاتين ما دام بقاء الظلمة يكون الشكّ في وطئها مُتّصلًا باليقين بعدم وطئها، و لا يحتمل المُكلّف في الحال وجود يقين فعليّ فاصل بين اليقين السابق و 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يقينه التفصيليّ ارتفع بواسطة عروض الجهل، و حدث علم إجمالي يكون كلّ من طرفيه شكّاً محضاً لا يحتمل فيه اليقين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النظر فيما أتعب بعض أعاظم العصر نفسه في ضابط عدم اتصال زمان الشكّ باليقين، و تمثيله بإناء شرقيّ و غربيّ علم تفصيلًا بنجاستهما، و أصاب أحدهما المطر، و تفصيله بين ما إذا علم إجمالًا بإصابة المطر أحدهما، فاختار جريان الاستصحاب، و بين ما علم تفصيلًا بإصابته خصوص ما كان في الطرف الشرقيّ، ثمّ عرض له الاشتباه، فاختار عدم الجريان لعدم الاتصال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يُعقل اتصال زمان الشكّ في كلّ منهما بزمان اليقين بنجاستهما؛ لأنَّ المفروض أنَّه قد انقضى على أحد الإناءين زمان لم يكن زمان اليقين بالنجاسة، و لا زمان الشكّ فيها، فكيف يعقل اتصال زمان الشكّ في كلٍّ منهما بزمان اليقين؟ فلا مجال لاستصحاب بقاء النجاسة في كلّ</w:t>
      </w:r>
    </w:p>
    <w:p>
      <w:pPr>
        <w:pStyle w:val="BookText"/>
        <w:rPr/>
      </w:pPr>
      <w:r>
        <w:rPr>
          <w:rFonts w:ascii="Amiri" w:hAnsi="Amiri" w:eastAsia="Amiri" w:cs="Amiri"/>
          <w:color w:val="111111"/>
          <w:sz w:val="28"/>
          <w:sz w:val="28"/>
          <w:szCs w:val="28"/>
          <w:rtl w:val="true"/>
          <w:lang w:bidi="ar-SA"/>
        </w:rPr>
        <w:t xml:space="preserve">منهما؛ لأنَّه في كلّ إناء منهما يُحتمل أن يكون هو الإناء الذي تعلّق العلم بطهارته، ففي كلّ منهما يُحتمل انفصال الشكّ عن اليقين </w:t>
      </w:r>
      <w:r>
        <w:rPr>
          <w:rStyle w:val="FootnoteAnchor"/>
          <w:rtl w:val="true"/>
        </w:rPr>
        <w:footnoteReference w:id="35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 العلم التفصيليّ الحاصل في زمان مع تبدّله بالشكّ في زمان آخر لا يضرّ بالاستصحاب؛ فإنَّ الميزان أن يكون زمان الشكّ مُتّصلًا باليقين في حال جريانه لا قبله، و في حاله لا يكون للمُكلّف بالنسبة إلى الإناء المُشتبه إلّا العلم بالنجاسة سابقاً، و الشكّ في إصابته المطر، و لا يحتمل في حاله تخلّل اليقين بإصابته المطر بين العلم 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معنى اتصال زمان الشكّ باليقين أن لا يمرّ على المشكوك فيه زمان يكون مُتعلّقاً للعلم و لو انقلب إلى الجهل؛ ضرورة أنَّ المناط بحال إجراء الأصل، فلو حصل للمُكلّف ألف علم بضدّ الحالة السابقة، و لم يكن في حال الجريان إلّا العلم و الشكّ، من غير تخلّل علم بالضدّ أو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الاحتمال في المقام لا يمكن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جريانه بلا مانع، و يكون من عدم نقض اليقين بالشكّ، و 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 في اتصال زمان الشكّ باليقين هو أنَّ المُكلّف في حال إجراء الأصل يكون على يقين مُتعلّق بشي‌ء و شكٍّ في بقائه، و لا يكون في هذا الحال له يقين آخر مضادّ ليقينه، فاصل بينه و بين شكّه و لا احتماله، و اعتباره في الاستصحاب و أوضح من أن يخفى؛ لأنَّه إذا كان له يقينان كذلك ينتقض يقينه السابق باليقين اللّاحق، فلا يكون شاكّاً في بقاء ما تعلّق به اليقين الأوّل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أنَّ جريان الأصل في مجهولي التأريخ لا مانع منه إذا كان الأثر مُترتّباً على عدم كلّ منهما في زمان وجود الآخر، و لا يكون زمان اليقين مُنفصلًا عن زمان الشكّ بيقين مُضادّ لليقين السابق، و لا يحتمل ذلك أيضاً، كما عرفت</w:t>
      </w:r>
      <w:r>
        <w:rPr>
          <w:rFonts w:eastAsia="Amiri" w:cs="Amiri" w:ascii="Amiri" w:hAnsi="Amiri"/>
          <w:color w:val="111111"/>
          <w:sz w:val="28"/>
          <w:szCs w:val="28"/>
          <w:rtl w:val="true"/>
          <w:lang w:bidi="ar-SA"/>
        </w:rPr>
        <w:t>.</w:t>
      </w:r>
      <w:bookmarkStart w:id="273" w:name="pg2245_12840"/>
    </w:p>
    <w:p>
      <w:pPr>
        <w:pStyle w:val="Heading4"/>
        <w:numPr>
          <w:ilvl w:val="3"/>
          <w:numId w:val="1"/>
        </w:numPr>
        <w:rPr/>
      </w:pPr>
      <w:bookmarkStart w:id="274" w:name="__RefHeading___Toc1614079_3804643083"/>
      <w:bookmarkStart w:id="275" w:name="_Toc100"/>
      <w:bookmarkEnd w:id="273"/>
      <w:bookmarkEnd w:id="274"/>
      <w:r>
        <w:rPr>
          <w:rtl w:val="true"/>
        </w:rPr>
        <w:t>إشكال المحقّق الخراسانيّ في مجهولي التأريخ و جوابه</w:t>
      </w:r>
      <w:bookmarkEnd w:id="275"/>
    </w:p>
    <w:p>
      <w:pPr>
        <w:pStyle w:val="BookText"/>
        <w:rPr/>
      </w:pPr>
      <w:r>
        <w:rPr>
          <w:rFonts w:ascii="Amiri" w:hAnsi="Amiri" w:eastAsia="Amiri" w:cs="Amiri"/>
          <w:color w:val="111111"/>
          <w:sz w:val="28"/>
          <w:sz w:val="28"/>
          <w:szCs w:val="28"/>
          <w:rtl w:val="true"/>
          <w:lang w:bidi="ar-SA"/>
        </w:rPr>
        <w:t>و ما أفاده المُحقّق الخراسانيّ رحمه اللَّه في بيان عدم اتصال زمان الشكّ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فرض زمانين بعد زمان العلم بعدم حدوثهما، أحدهما زمان حدوث واحد منهما، و الثاني زمان حدوث الآخر، و الشكّ في الآن الأوّل منهما و إن كان شكّاً في وجود كلّ منهما بالإضافة إلى أجزاء الزمان، و لكن لا يكون شكّاً فيه بالإضافة إلى الآخر إلّا في الآن الثاني؛ لأنَّ الشكّ في المُتقدّم و المتأخّر منهما لا يمكن إلّا بعد العلم بوجودهما، فزمان الثالث زمان الشكّ في المُتقدّم و المُتأخر، أو الشكّ في وجود أحدهما بالإضافة إلى زمان وجود الآخر، و هو ظرف العلم الإجماليّ بوجود كلٍّ منهما إمّا في الزمان المُتقدّم، أو في الزمان المُتأخّر، و لمّا شكّ في أنَّ أيّهما مُقدّم و أيّهما مؤخّر لم يحرز اتصال زمان الشكّ باليقين </w:t>
      </w:r>
      <w:r>
        <w:rPr>
          <w:rStyle w:val="FootnoteAnchor"/>
          <w:rtl w:val="true"/>
        </w:rPr>
        <w:footnoteReference w:id="353"/>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بعدم الاتصال أنَّ الزمان الثاني لا يكون ظرفاً للشكّ و لا لليقين، بل الزمان الأوّل ظرف لليقين بعدمهما، و زمان الثاني ظرف للشكّ في وجود كلّ منهما بالنسبة إلى أجزاء الزمان، لا بالنسبة إلى الآخر الذي هو مضايفه، فلا يكون ظرفاً للشكّ بالنسبة إليه كذلك إلّا الزمان الثالث، فانفصل الزمان الثالث عن الأوّل بزمان لا يكون ظرفاً للشكّ و لا لليقين، فلا يكون زمان اليقين مُتّصلًا بزمان الشكّ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المفروض في هذا القسم عدم أخذ الإضافة إلى الآخر قيداً له، فيكون الزمان الثاني ظرفاً للشكّ أيضاً، و إن كان الأثر لا يترتّب إلّا على عدمه في زمان وجود الآخر، لا على عدمه في الزمان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هذا النحو من الاتصال، فلا مانع من فصل زمان اليقين عن زمان الشكّ بزمان لا يكون ظرفاً للشكّ</w:t>
      </w:r>
      <w:bookmarkStart w:id="276" w:name="pg2245_12842"/>
    </w:p>
    <w:p>
      <w:pPr>
        <w:pStyle w:val="BookText"/>
        <w:rPr/>
      </w:pPr>
      <w:bookmarkEnd w:id="276"/>
      <w:r>
        <w:rPr>
          <w:rFonts w:ascii="Amiri" w:hAnsi="Amiri" w:eastAsia="Amiri" w:cs="Amiri"/>
          <w:color w:val="111111"/>
          <w:sz w:val="28"/>
          <w:sz w:val="28"/>
          <w:szCs w:val="28"/>
          <w:rtl w:val="true"/>
          <w:lang w:bidi="ar-SA"/>
        </w:rPr>
        <w:t>و لا لليقين، و إنما المانع فصل يقين مُتعلّق بضدّ ما يتعلّق به اليقين الأوّل، أو احتمال فصله، و هذا الاحتمال و إن كان بعيداً عن مساق كلامه، لكن ذكرناه تتميماً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من عدم الاتصال بينهما ما هو ظاهر كلامه، من أنَّ العلم الإجماليّ بحدوثه مُقدّماً أو مُؤخّراً موجب لعدم إحراز الاتصال؛ لاحتمال انفصال زمان الشكّ عن اليقين بحدوث ما يستصحب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انفصال ذات المعلوم بالإجمال بين زمان اليقين و الشكّ ممّا لا يضرّ بالاستصحاب؛ لأنَّ ذلك مُحقّق لنفس الشكّ، و احتمال انفصال العلم بالحدوث بينهما مقطوع البطلان؛ لأنَّ ذلك مساوق لاحتمال كون المشكوك فيه مُتيقّناً، و كون الشكّ يقيناً، و كون المعلوم بالإجمال معلوماً تفصيليّاً، و كلّ ذلك ضروريّ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منشأ هذا الاشتباه شدّة اتصال اليقين بالمُتيقّن، فيكون احتمال انفصال المُتيقّن بين زمان اليقين و الشكّ موجباً لزعم احتمال انفصال اليقين، مع أنَّ الأوّل غير مُضرّ، و الثاني غير واقع، بل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الأصل في مجهولي التأريخ ممّا لا مانع منه</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614081_3804643083"/>
      <w:bookmarkStart w:id="278" w:name="_Toc101"/>
      <w:bookmarkEnd w:id="277"/>
      <w:r>
        <w:rPr>
          <w:rtl w:val="true"/>
        </w:rPr>
        <w:t>تقرير إشكال شيخنا العلّامة في مجهولي التأريخ و جوابه</w:t>
      </w:r>
      <w:bookmarkEnd w:id="278"/>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في مجهولي التأريخ غير جارٍ، لا لعدم إحراز الاتصال، بل لعدم إحراز كونه من نقض اليقين بالشكّ، و احتمال كونه من نقض اليقين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انَّ جريانه فيهما من التمسّك بعموم دليل الاستصحاب في الشبهة المصداقية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اليقين بعدم الكرّية و المُلاقاة في أوّل النهار، و علمنا بتحقّق</w:t>
      </w:r>
    </w:p>
    <w:p>
      <w:pPr>
        <w:pStyle w:val="BookText"/>
        <w:rPr/>
      </w:pPr>
      <w:r>
        <w:rPr>
          <w:rFonts w:ascii="Amiri" w:hAnsi="Amiri" w:eastAsia="Amiri" w:cs="Amiri"/>
          <w:color w:val="111111"/>
          <w:sz w:val="28"/>
          <w:sz w:val="28"/>
          <w:szCs w:val="28"/>
          <w:rtl w:val="true"/>
          <w:lang w:bidi="ar-SA"/>
        </w:rPr>
        <w:t>إحداهما في وسطه، و تحقّق الاخرى في الجزء الأوّل من اللّيل، فالجزء الأوّل من اللّيل ظرف اليقين بتحقّق كلتيهما، و ظرف احتمال حدوث كلّ منهما؛ للعلم الإجماليّ بحدوث كلٍّ منهما، إمّا في وسط النهار، أو في أوّل الليل، فاستصحاب عدم كلّ منهما إلى زمان الوجود الواقعي للُاخرى يحتمل أن يكون من نقض اليقين باليقين؛ لاحتمال حدوثه في الجزء الأوّل من الليل، و هو ظرف العلم بتحقّق كلتيهما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سابقاً، و إمّا في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فاستصحاب عدم المُلاقاة إلى زمان الوجود الواقعيّ للكرّية يُحتمل أن يجري إلى الجزء الأوّل من اللّيل الذي هو ظرف احتمال حدوث الكرّية؛ لأنّها تحتمل أن تكون حادثة في وسط النهار، أو أوّل اللّيل، و الجريان إلى اللّيل من نقض اليقين باليقين؛ لأنَّ ذلك الجزء ظرف اليقين بحصول المُلاقاة، إمّا فيه، و إمّا قبله، و كذا الحال بالنسبة إلى الحادث الآخر، و من شرائط جريان الأصل إحراز أن يكون المورد من نقض اليقين بالشكّ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ممّا أفاده شيخنا العلّامة أعلى اللَّه مقامه في مجلس بحثه، و اختار عدم جريان الأصل في مجهولي التأريخ لأجله، و لعلّه أحد محتملات الكفاية</w:t>
      </w:r>
      <w:r>
        <w:rPr>
          <w:rStyle w:val="FootnoteAnchor"/>
          <w:rtl w:val="true"/>
        </w:rPr>
        <w:footnoteReference w:id="355"/>
      </w:r>
      <w:r>
        <w:rPr>
          <w:rFonts w:ascii="Amiri" w:hAnsi="Amiri" w:eastAsia="Amiri" w:cs="Amiri"/>
          <w:color w:val="111111"/>
          <w:sz w:val="28"/>
          <w:sz w:val="28"/>
          <w:szCs w:val="28"/>
          <w:rtl w:val="true"/>
          <w:lang w:bidi="ar-SA"/>
        </w:rPr>
        <w:t>، و إن كان بعيداً عن سوق عبارتها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واضح بين استصحاب عدم المُلاقاة إلى الجزء الأوّل من اللّيل، و بين استصحاب عدم المُلاقاة إلى زمان الوجود الواقعيّ للكرّية؛ فإنَّ مفاد الأوّل عدم حصول المُلاقاة في أجزاء الزمان إلى الجزء الأوّل من اللّيل الذي هو ظرف اليقين بتحقّق المُلاقاة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فمفاده أو لازمه تأخّر المُلاقاة عن الكرّية، و لهذا لو أخبرت البيّنة بأنَّ المُلاقاة لم تحصل إلى الجزء الأوّل من اللّيل؛ بحيث كانت الغاية داخلة في المغيّى</w:t>
      </w:r>
    </w:p>
    <w:p>
      <w:pPr>
        <w:pStyle w:val="BookText"/>
        <w:rPr/>
      </w:pPr>
      <w:r>
        <w:rPr>
          <w:rFonts w:ascii="Amiri" w:hAnsi="Amiri" w:eastAsia="Amiri" w:cs="Amiri"/>
          <w:color w:val="111111"/>
          <w:sz w:val="28"/>
          <w:sz w:val="28"/>
          <w:szCs w:val="28"/>
          <w:rtl w:val="true"/>
          <w:lang w:bidi="ar-SA"/>
        </w:rPr>
        <w:t>نكذّبها؛ للعلم بخلافها، و أمّا لو أخبرت بأنَّ المُلاقاة لم تحصل إلى زمان الكرّية نصدّقها، و نحكم بأنَّ الكرّية المردّدة بين كونها حادثة في وسط النهار أو الجزء الأوّل من اللّيل حدثت في وسط النهار، و المُلاقاة حدثت مُتأخّرة عنها في الجزء الأوّل من اللّيل، و كذا لو كانت لوازم الاستصحاب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فاستصحاب عدم حصول المُلاقاة إلى الجزء الأوّل من اللّيل بحيث تكون الغاية داخلة في المغيّى غير جار للعلم بخلافه، بخلاف استصحاب عدم المُلاقاة إلى زمان حصول الكرّية؛ فإنَّ استصحابه مساوق لتقدّم حصول الكرّية على المُلاقاة، و حدوث الكرّية في وسط النهار، و حدوث الملاقاة في الجزء الأوّل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دليل على أنَّ مفاد هذا الاستصحاب ليس جرّ المُستصحب إلى الجزء الأوّل من اللّيل حتّى يكون من نقض اليقين باليقين، بل مفاده عدم حصول المُستصحب في زمان تحقّق الآخر، و لازمه تأخّره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أنَّ احتمالي حدوث الحادثين متبادلان؛ بمعنى أنَّ احتمال حدوث الكرّية في الجزء الأوّل من اللّيل بدليل لاحتمال حدوث المُلاقاة في وسط النهار و بالعكس، و احتمال عدم حدوث الكرّية إلى زمان المُلاقاة مُساوق لاحتمال حدوث المُلاقاة في وسط النهار، فأصالة عدم الكرّية إلى زمان المُلاقاة ترجيح لهذا الاحتمال، و لازمه تأخّر الكرّية عن زمان المُلاقاة، لا عدم تحقّق الكرّية إلى الجزء الاوّل من اللّيل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عدم الكرّية في زمن المُلاقاة تحقّقها في الجزء الأوّل من اللّيل، لا عدم تحقّقها إليه، فلو كان الأصل المُثبت حُجّة نحكم بتأخّرها عنه، و حصولها في الجزء الأوّل من اللّيل، و حصول المُلاقاة في وسط النهار، لكن مُقتضى عدم حُجّية الأصل المُثبت أن لا يترتّب الأثر إلّا على نفس عنوان عدم وجود المُلاقاة في زمن الكرّية، أو عدم الكرّية في زمن المُلاقاة، و ليس ذلك إلّا من نقض اليقين بالشكّ، و لا يلزم منه جرّ</w:t>
      </w:r>
      <w:bookmarkStart w:id="279" w:name="pg2245_12848"/>
    </w:p>
    <w:p>
      <w:pPr>
        <w:pStyle w:val="BookText"/>
        <w:rPr/>
      </w:pPr>
      <w:bookmarkEnd w:id="279"/>
      <w:r>
        <w:rPr>
          <w:rFonts w:ascii="Amiri" w:hAnsi="Amiri" w:eastAsia="Amiri" w:cs="Amiri"/>
          <w:color w:val="111111"/>
          <w:sz w:val="28"/>
          <w:sz w:val="28"/>
          <w:szCs w:val="28"/>
          <w:rtl w:val="true"/>
          <w:lang w:bidi="ar-SA"/>
        </w:rPr>
        <w:t>عدم المُلاقاة إلى زمان العلم به، فتدبّر جيّداً، هذا حال مجهولي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تأريخ أحدهما معلوماً، فاستصحاب مجهول التأريخ منهما جار، و اختار المُحقّق الخراسانيّ الجريان فيه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زمان اليقين فيه مُتّصل بالشكّ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من عدم الاتصال في مجهولي التأريخ أحد الوجهين الأوّلين فلا فرق بين مجهولي التأريخ و بين ما نحن فيه؛ لأنَّ المانع لو كان العلم الإجماليّ أو كون الزمان الأوّل من الزمانين غير ظرف الشكّ يكون ما نحن فيه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مراده من عدم الاتصال هو الذي أفاده شيخنا العلّامة كان بينهما فرق؛ فإنَّ استصحاب عدم مجهول التأريخ إلى زمان وجود معلوم التأريخ ليس إلّا عدم نقض اليقين بالشكّ، و لا تأتي فيه الشبهة التي عرفتها و عرفت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في مجهول التأريخ مطلقاً لا إشكال فيه، و أمّا في معلوم التأريخ فلا يجري إلّا على بعض الوجوه المُتقدّمة</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614083_3804643083"/>
      <w:bookmarkStart w:id="281" w:name="_Toc102"/>
      <w:bookmarkEnd w:id="280"/>
      <w:r>
        <w:rPr>
          <w:rtl w:val="true"/>
        </w:rPr>
        <w:t>تكميل فروض ترتّب الأثر على وجود الحادثين</w:t>
      </w:r>
      <w:bookmarkEnd w:id="281"/>
    </w:p>
    <w:p>
      <w:pPr>
        <w:pStyle w:val="BookText"/>
        <w:rPr/>
      </w:pPr>
      <w:r>
        <w:rPr>
          <w:rFonts w:ascii="Amiri" w:hAnsi="Amiri" w:eastAsia="Amiri" w:cs="Amiri"/>
          <w:color w:val="111111"/>
          <w:sz w:val="28"/>
          <w:sz w:val="28"/>
          <w:szCs w:val="28"/>
          <w:rtl w:val="true"/>
          <w:lang w:bidi="ar-SA"/>
        </w:rPr>
        <w:t>ربما يكون الأثر مُترتّباً على وجود الحادثين في زمان الشكّ، و يشكّ في المُتقدّم منهما، كما لو تيقّن الحدث و الطهارة، و شكّ في المُتقدّم، أو تيقّن إصابة النجس لثوبه و غَسْلِه، و شكّ في المُتقدّم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كلّ منهما مجهول التاريخ، و تارةً يكون أحدهما معلوم التأريخ، و على التقديرين، تارةً تكون الحالة السابقة على عروض الحالتين معلومة، و اخرى تكون</w:t>
      </w:r>
    </w:p>
    <w:p>
      <w:pPr>
        <w:pStyle w:val="BookText"/>
        <w:rPr/>
      </w:pPr>
      <w:r>
        <w:rPr>
          <w:rFonts w:ascii="Amiri" w:hAnsi="Amiri" w:eastAsia="Amiri" w:cs="Amiri"/>
          <w:color w:val="111111"/>
          <w:sz w:val="28"/>
          <w:sz w:val="28"/>
          <w:szCs w:val="28"/>
          <w:rtl w:val="true"/>
          <w:lang w:bidi="ar-SA"/>
        </w:rPr>
        <w:t>غير معلومة، فإن كانت معلومة، فتارة تكون الحالة السابقة على الحالتين مساوية في الأثر مع إحدى الحالتين العارضتين، و اخرى تكون زائدة في الأثر، و ثالثة تكون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تكن الحالة السابقة معلومة فاستصحاب بقاء كلّ من الحادثين جارٍ و معارض بمثله من غير فرق بين معلوم التأريخ و مجهوله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بينهما، فذهب إلى التعارض في مجهولي التأريخ، و حكم في معلوم التأريخ بأصالة تأخّر الحادث </w:t>
      </w:r>
      <w:r>
        <w:rPr>
          <w:rStyle w:val="FootnoteAnchor"/>
          <w:rtl w:val="true"/>
        </w:rPr>
        <w:footnoteReference w:id="357"/>
      </w:r>
      <w:r>
        <w:rPr>
          <w:rFonts w:ascii="Amiri" w:hAnsi="Amiri" w:eastAsia="Amiri" w:cs="Amiri"/>
          <w:color w:val="111111"/>
          <w:sz w:val="28"/>
          <w:sz w:val="28"/>
          <w:szCs w:val="28"/>
          <w:rtl w:val="true"/>
          <w:lang w:bidi="ar-SA"/>
        </w:rPr>
        <w:t>، ففيه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الحالة السابقة على عروض الحادثين معلومة، و كانت مساوية لإحدى الحالتين العارضتين، كما لو تيقّن الحدث و الطهارة، و كانت الحالة السابقة عليهما الحدث أو الطهارة، فَعَن المشهور في خصوص الفرع هو الحكم بلزوم التطهير؛ لمعارضة استصحاب الحدث لاستصحاب الطهارة، و حكم العقل بتحصيل الطهارة للصلاة؛ لقاعدة الاشتغال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الأخذ بضدّ الحالة السابقة؛ لأنّها ارتفعت يقيناً و انقلبت إلى ضدّها، و ارتفاع الضدّ غير معلوم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ينظر إلى حاله قبل تصادم الاحتمالين، فإن كان حدثاً بنى على الطهارة؛ لأنَّه تيقّن انتقاله عن تلك الحالة إلى الطهارة، و لم يعلم تجدّد الانتقاض، فصار مُتيقّناً للطهارة، و شاكاً في الحدث فيبني على الطهارة، و إن كان قبل تصادم الاحتمالين مُتطهّراً بنى على الحدث؛ لعين ما ذكرنا من التنزيل </w:t>
      </w:r>
      <w:r>
        <w:rPr>
          <w:rStyle w:val="FootnoteAnchor"/>
          <w:rtl w:val="true"/>
        </w:rPr>
        <w:footnoteReference w:id="3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282" w:name="pg2245_12853"/>
    </w:p>
    <w:p>
      <w:pPr>
        <w:pStyle w:val="BookText"/>
        <w:rPr/>
      </w:pPr>
      <w:bookmarkEnd w:id="282"/>
      <w:r>
        <w:rPr>
          <w:rFonts w:ascii="Amiri" w:hAnsi="Amiri" w:eastAsia="Amiri" w:cs="Amiri"/>
          <w:color w:val="111111"/>
          <w:sz w:val="28"/>
          <w:sz w:val="28"/>
          <w:szCs w:val="28"/>
          <w:rtl w:val="true"/>
          <w:lang w:bidi="ar-SA"/>
        </w:rPr>
        <w:t xml:space="preserve">و نسب هذا التفصيل إلى مشهور المُتأخّرين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تصدّى لردّه جمع من المُحقّقين كالشيخ الأعظم </w:t>
      </w:r>
      <w:r>
        <w:rPr>
          <w:rStyle w:val="FootnoteAnchor"/>
          <w:rtl w:val="true"/>
        </w:rPr>
        <w:footnoteReference w:id="361"/>
      </w:r>
      <w:r>
        <w:rPr>
          <w:rFonts w:ascii="Amiri" w:hAnsi="Amiri" w:eastAsia="Amiri" w:cs="Amiri"/>
          <w:color w:val="111111"/>
          <w:sz w:val="28"/>
          <w:sz w:val="28"/>
          <w:szCs w:val="28"/>
          <w:rtl w:val="true"/>
          <w:lang w:bidi="ar-SA"/>
        </w:rPr>
        <w:t xml:space="preserve">،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الفقيه </w:t>
      </w:r>
      <w:r>
        <w:rPr>
          <w:rStyle w:val="FootnoteAnchor"/>
          <w:rtl w:val="true"/>
        </w:rPr>
        <w:footnoteReference w:id="362"/>
      </w:r>
      <w:r>
        <w:rPr>
          <w:rFonts w:ascii="IRNazanin" w:hAnsi="IRNazanin" w:eastAsia="IRNazanin"/>
          <w:color w:val="111111"/>
          <w:sz w:val="28"/>
          <w:sz w:val="28"/>
          <w:szCs w:val="28"/>
          <w:rtl w:val="true"/>
          <w:lang w:bidi="fa-IR"/>
        </w:rPr>
        <w:t>، و بعض أعاظم العصر</w:t>
      </w:r>
      <w:r>
        <w:rPr>
          <w:rStyle w:val="FootnoteAnchor"/>
          <w:rtl w:val="true"/>
        </w:rPr>
        <w:footnoteReference w:id="363"/>
      </w:r>
      <w:r>
        <w:rPr>
          <w:rFonts w:ascii="Amiri" w:hAnsi="Amiri" w:eastAsia="Amiri" w:cs="Amiri"/>
          <w:color w:val="111111"/>
          <w:sz w:val="28"/>
          <w:sz w:val="28"/>
          <w:szCs w:val="28"/>
          <w:rtl w:val="true"/>
          <w:lang w:bidi="ar-SA"/>
        </w:rPr>
        <w:t>بما لا داعي لنقل كلامهم</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614085_3804643083"/>
      <w:bookmarkStart w:id="284" w:name="_Toc103"/>
      <w:bookmarkEnd w:id="283"/>
      <w:r>
        <w:rPr>
          <w:rtl w:val="true"/>
        </w:rPr>
        <w:t>تحقيق الحال في المقام</w:t>
      </w:r>
      <w:bookmarkEnd w:id="284"/>
    </w:p>
    <w:p>
      <w:pPr>
        <w:pStyle w:val="BookText"/>
        <w:rPr/>
      </w:pPr>
      <w:r>
        <w:rPr>
          <w:rFonts w:ascii="Amiri" w:hAnsi="Amiri" w:eastAsia="Amiri" w:cs="Amiri"/>
          <w:color w:val="111111"/>
          <w:sz w:val="28"/>
          <w:sz w:val="28"/>
          <w:szCs w:val="28"/>
          <w:rtl w:val="true"/>
          <w:lang w:bidi="ar-SA"/>
        </w:rPr>
        <w:t>و التحقيق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المُحقّق في مجهولي التأريخ، و التفصيل في معلومه بأنَّه إن كان معلوم التأريخ هو ضدّ الحالة السابقة فكالمحقّق، و إلّا فكالمشهور، و إن انطبق المسلكان نتيجة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مجهولي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الحدث أمر واحد له أسباب كثيرة، و تكون سببيّة الأسباب الكثيرة للشي‌ء الواحد سببيّة اقتضائيّة؛ بمعنى أنَّ كلّ سبب يتقدّم في الوجود الخارجيّ يصير سبباً فعليّاً مؤثّراً في حصول المُسبّب، و إذا وجدت سائر الأسباب بعده لم تتّصف بالسببيّة الفعليّة؛ ضرورة أنَّ الحدث إذا وجد بالنوم لا يكون نوم آخر بعده أو بول أو غيرهما موجباً لحدوثه، و لا يكون شي‌ء منهما سبباً فعليّاً، بل سببيّتها الفعليّة موقوفة على حدوثها لدى كون المُكلّف مُتطهّراً لم تسبقه سائر الموجبات، فإذا كان المُكلّف مُتيقّناً بكونه محدثاً في أوّل النهار، فعلم بحدوث طهارة و حدث أثناء النهار، و شكّ في المُتقدّم و المُتأخّر يكون استصحاب الطهارة المُتيقّنة ممّا لا إشكال فيه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يجري استصحاب الحدث؛ لعدم تيقّن الحالة السابقة، لا تفصيلًا و لا إجمالًا؛ فإنَّ الحدث المعلوم بالتفصيل الذي كان مُتحقّقاً أوّل النهار قد زال يقيناً، و ليس له علم</w:t>
      </w:r>
    </w:p>
    <w:p>
      <w:pPr>
        <w:pStyle w:val="BookText"/>
        <w:rPr/>
      </w:pPr>
      <w:r>
        <w:rPr>
          <w:rFonts w:ascii="Amiri" w:hAnsi="Amiri" w:eastAsia="Amiri" w:cs="Amiri"/>
          <w:color w:val="111111"/>
          <w:sz w:val="28"/>
          <w:sz w:val="28"/>
          <w:szCs w:val="28"/>
          <w:rtl w:val="true"/>
          <w:lang w:bidi="ar-SA"/>
        </w:rPr>
        <w:t>إجماليّ بوجود الحدث، إمّا قبل الوضوء أو بعده؛ لأنَّ الحدث قبل الوضوء معلوم تفصيليّ، و بعده مشكوك فيه بالشكّ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وجود الحدث بعد تحقّق السبب الثاني معلوم، و إن لم يعلم أنَّه من السبب الثاني أو الأوّل، و رفع اليد عنه نقض اليقين بالشكّ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خلط بين العلم التفصيليّ و الشكّ البدويّ، و بين العلم الإجماليّ؛ فإنَّ وجود الحدث قبل الوضوء معلوم بالتفصيل، و لا إجمال فيه أصلًا، و وجوده بعده احتمال بدويّ، فدعوى العلم الإجماليّ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نعلم أنَّ الحدث بعد السبب الثاني موجود إمّا بهذا السبب أو بسبب أخر عبارة اخرى عن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نعلم أنَّ الحدث بعد السبب الثاني موجود إمّا قبل الوضوء أو بعده، و قد عرفت أنَّه ليس علماً إجماليّاً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بالإجمال هو السبب الثاني، لا بوصف السببيّة الفعليّة، بل الأعمّ من ذلك؛ فإنَّا نعلم إجمالًا وجود النوم إمّا قبل الوضوء أو بعده، و هو ليس مجرى الاستصحاب، و أمّا الحدث فليس معلوماً بالإجمال، بل معلوم بالتفصيل قبل الوضوء، و محتمل بدويّ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العلم الإجماليّ بأنَّ الأثر الحاصل في ثوبه إمّا من الجنابة التي اغتسل منها، أو من جنابة جديدة، حيث إنَّ العلم الإجماليّ بأنَّ هذا إمّا من تلك الجنابة، أو من هذه حاصل، و لكنه ليس منشأً للأثر، و أمّا نفس الجنابة فليست معلومة بالإجمال، بل الجنابة قبل الغسل معلومة تفصيلًا، و رفعها معلوم أيضاً، و بعده مشكوك فيها بالشكّ البدويّ، و ليست طرفاً للعلم الإجماليّ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هذا المثال و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فيما نحن فيه يكون في تحقّق</w:t>
      </w:r>
    </w:p>
    <w:p>
      <w:pPr>
        <w:pStyle w:val="BookText"/>
        <w:rPr/>
      </w:pPr>
      <w:r>
        <w:rPr>
          <w:rFonts w:ascii="Amiri" w:hAnsi="Amiri" w:eastAsia="Amiri" w:cs="Amiri"/>
          <w:color w:val="111111"/>
          <w:sz w:val="28"/>
          <w:sz w:val="28"/>
          <w:szCs w:val="28"/>
          <w:rtl w:val="true"/>
          <w:lang w:bidi="ar-SA"/>
        </w:rPr>
        <w:t>السبب الأعمّ من الاقتضائي و الفعليّ، و هو ممّا لا أثر له، و لا يجري فيه الاستصحاب، و في المثال يكون في أنَّ الأثر من تلك الجنابة أو من هذه، و هذا أيضاً لا أثر له، و أمّا نفس الجنابة و الحدث فليستا معلومتين بالإجمال، بل كلّ منهما معلوم بالتفصيل قبل التطهّر، و مشكوك فيه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توضيح ما ذكرنا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بالنوم إمّا قبل الوضوء أو بعده فيما نحن فيه، كالعلم الإجماليّ بوجود الخَفقة و الخَفْقتين قبل الوضوء أو النوم؛ لأنَّ النوم قبل الوضوء، أي في زمان الحدث ليس سبباً له، كما أنَّ الخفقة و الخفقتين ليستا كذلك، فكما أنَّ العلم الإجماليّ في المثال لا يؤثّر شيئاً، كذلك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صحّ أن يقال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إجمالًا بتحقّق الحدث بعد هذا الأمر الحادث إمّا من جهة السبب الأوّل، و إمّا من جهة السبب الحادث؛ فإنَّ هذا الحدث إن وجد قبل الوضوء كان الحدث موجوداً بعده بالسبب الأوّل، و إن وجد بعده كان موجوداً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أظنّ بأحد أن يستصحب هذا الحدث، و ليس ذلك إلّا لأجل وضوح عدم العلم الإجماليّ، و أنَّ الحدث المعلوم بالتفصيل ليس طرفاً للترديد و مُصحّحاً للإجمال المُعتبر في العلم الإجماليّ، و لا فرق بالضرورة بين النوم بعد الحدث، و الخفقة و الخفقتين في عدم سببيّتهما فعلًا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النوم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سبقه بالحدث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فرقاً كما هو واضح</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بتقريبٍ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الحدث في المثال مُردّد بين فردين، أحدهما مقطوع الزوال، و الآخر مُحتمل الحدوث؛ فإنَّه إن وجد السبب قبل الوضوء يكون محدثاً بالسبب الأوّل، و هو مصداق من الحدث، و إن وجد بعده يكون الحدث مصداقاً حادثاً من السبب الثاني</w:t>
      </w:r>
      <w:r>
        <w:rPr>
          <w:rFonts w:eastAsia="Amiri" w:cs="Amiri" w:ascii="Amiri" w:hAnsi="Amiri"/>
          <w:color w:val="111111"/>
          <w:sz w:val="28"/>
          <w:szCs w:val="28"/>
          <w:rtl w:val="true"/>
          <w:lang w:bidi="ar-SA"/>
        </w:rPr>
        <w:t>.</w:t>
      </w:r>
      <w:bookmarkStart w:id="285" w:name="pg2245_12859"/>
    </w:p>
    <w:p>
      <w:pPr>
        <w:pStyle w:val="BookText"/>
        <w:rPr/>
      </w:pPr>
      <w:bookmarkEnd w:id="285"/>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استصحاب الفرد فلا يجري لاختلال أركانه، فإنَّ المصداق الأوّل مقطوع الزوال، و المصداق الثاني مُحتمل الحدوث، و إن اريد استصحاب الكلّي فلا يجري؛ لعدم الاتصال بين زوال الفرد الأوّل و احتمال حدوث الفرد الآخر، و في مثله لا يكون شكّ في البقاء، و لا أظنّك بعد التأمّل فيما ذكرنا أن تشكّ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مجهولي التأريخ</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614087_3804643083"/>
      <w:bookmarkStart w:id="287" w:name="_Toc104"/>
      <w:bookmarkEnd w:id="286"/>
      <w:r>
        <w:rPr>
          <w:rtl w:val="true"/>
        </w:rPr>
        <w:t>فيما إذا كان أحدهما معلوم التأريخ</w:t>
      </w:r>
      <w:bookmarkEnd w:id="287"/>
    </w:p>
    <w:p>
      <w:pPr>
        <w:pStyle w:val="BookText"/>
        <w:rPr/>
      </w:pPr>
      <w:r>
        <w:rPr>
          <w:rFonts w:ascii="Amiri" w:hAnsi="Amiri" w:eastAsia="Amiri" w:cs="Amiri"/>
          <w:color w:val="111111"/>
          <w:sz w:val="28"/>
          <w:sz w:val="28"/>
          <w:szCs w:val="28"/>
          <w:rtl w:val="true"/>
          <w:lang w:bidi="ar-SA"/>
        </w:rPr>
        <w:t>و أمّا إذا جهل تأريخ الحدث و علم تأريخ الطهارة، مع كون الحالة السابقة هي الحدث، فاستصحاب الحدث لا يجري؛ لعين ما ذكرنا في مجهولي التأريخ؛ من عدم العلم الإجمالي بالحدث، فلا تكون حالة سابقة مُتيقّنةً للحدث، و لكنّ استصحاب الطهارة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كونه محدثاً في أوّل النهار، و علم أنَّه صار في أوّل الظهر مُتطهّراً، و علم بحدوث حدث امّا بعد الطهارة، و إمّا قبلها لا يجري استصحاب الحدث؛ للعلم بزوال الحدث المعلوم تفصيلًا، و عدم العلم بتحقّق حدث غيره، و أمّا استصحاب الطهارة المُتحقّقة في أوّل الظهر فجارٍ؛ للعلم بوجودها، و الشكّ في زوالها، ففي هذه الصورة نحكم بكونه مُتطهّراً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جهل تأريخ الطهارة مع العلم بالحدث سابقاً، و علم تأريخ الحدث، فاستصحاب الحدث المعلوم التأريخ يعارض استصحاب الطهارة المعلومة بالإجمال، و نحكم بلزوم التطهّر عقلًا؛ لقاعدة الاشتغال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هو الأخذ بضدّ الحالة السابقة في</w:t>
      </w:r>
    </w:p>
    <w:p>
      <w:pPr>
        <w:pStyle w:val="BookText"/>
        <w:rPr/>
      </w:pPr>
      <w:r>
        <w:rPr>
          <w:rFonts w:ascii="Amiri" w:hAnsi="Amiri" w:eastAsia="Amiri" w:cs="Amiri"/>
          <w:color w:val="111111"/>
          <w:sz w:val="28"/>
          <w:sz w:val="28"/>
          <w:szCs w:val="28"/>
          <w:rtl w:val="true"/>
          <w:lang w:bidi="ar-SA"/>
        </w:rPr>
        <w:t>مجهولي التأريخ لأجل استصحاب الحالة المُضادّة من غير مُعارض له، و كذا فيما إذا علم تأريخ ما هو ضدّ للحالة السابقة؛ لعين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إذا علم تأريخ ما هو مثل للحالة السابقة، كما إذا تيقّن الحدث فى أوّل النهار، و تيقّن بحدثٍ آخر في الظهر، و تيقّن بطهارةٍ إمّا قبل الظهر أو بعده، فيجب تحصيل الطهارة؛ لتعارض استصحاب الحدث المعلوم في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به و الشكّ في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استصحاب الطهارة المعلومة بالإجمال؛ للعلم بوجودها إمّا قبل الظهر أو بعده، و الشكّ في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تردّدها بين ما هو مقطوع الزوال و ما هو مشكوك الحدوث، فلا يجري فيها الاستصحاب </w:t>
      </w:r>
      <w:r>
        <w:rPr>
          <w:rStyle w:val="FootnoteAnchor"/>
          <w:rtl w:val="true"/>
        </w:rPr>
        <w:footnoteReference w:id="365"/>
      </w:r>
      <w:r>
        <w:rPr>
          <w:rFonts w:ascii="Amiri" w:hAnsi="Amiri" w:eastAsia="Amiri" w:cs="Amiri"/>
          <w:color w:val="111111"/>
          <w:sz w:val="28"/>
          <w:sz w:val="28"/>
          <w:szCs w:val="28"/>
          <w:rtl w:val="true"/>
          <w:lang w:bidi="ar-SA"/>
        </w:rPr>
        <w:t>مردود بأنَّ ذلك مُحقّق الشكّ، و رفعُ اليد عن العلم الإجماليّ باحتمال الزوال نقض لليقين بالشكّ؛ ضرورة أنّا نعلم بتحقّق طهارة عقيب الغسل أو الوضوء، و شككنا في زوالها، و احتملنا بقاء المُتيقّن، فلا يكون رفع اليد عنه إلّا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معلوم التأريخ في الفرض و مجهوله؛ فإنَّ الحدث المعلوم في أوّل الزوال مُردّد بين ما هو باقٍ من أوّل النهار، أو حادث في الحال، و الأوّل مُتيقّن الزوال، و الآخر مشكوك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استصحاب الكلّي لا مانع منه؛ لأنَّ الكلّي في أوّل الزوال معلوم التحقّق و مُحتمل البقاء، من غير ورود إشكال مجهول التأريخ عليه؛ لأنَّ الفرد المعلوم منفصل بالطهور جزماً عن الفرد المُحتمل في مجهوله دون معلومه، و هذا هو المائز بينهما، فتدبّر لئلّا يختلط الأمر عليك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حال جميع الصور المُتصوّرة في الباب، و كذا حال عروض</w:t>
      </w:r>
      <w:bookmarkStart w:id="288" w:name="pg2245_12863"/>
    </w:p>
    <w:p>
      <w:pPr>
        <w:pStyle w:val="BookText"/>
        <w:rPr/>
      </w:pPr>
      <w:bookmarkEnd w:id="288"/>
      <w:r>
        <w:rPr>
          <w:rFonts w:ascii="Amiri" w:hAnsi="Amiri" w:eastAsia="Amiri" w:cs="Amiri"/>
          <w:color w:val="111111"/>
          <w:sz w:val="28"/>
          <w:sz w:val="28"/>
          <w:szCs w:val="28"/>
          <w:rtl w:val="true"/>
          <w:lang w:bidi="ar-SA"/>
        </w:rPr>
        <w:t>النجاسة و الطهور على الثوب فيما كانت الحالة السابقة على عروض الحالتين مساوية للحالة العارضة في الأثر أو زائدة عليها، كما إذا علم بتنجّس ثوبه أوّل النهار بالدم، و علم بعروض دم آخر، و عروض طهارة على الثوب، أو علم بعروض نجاسة بوليّه عليه أوّل النهار، و علم بعروض نجاسة دمويّة و طهارة عليه، مع الجهل بتأريخهما أو بتأريخ أحدهما؛ فإنَّ حكم هذه الصور حكم ما ذكرنا في الحدث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الحالة السابقة دونها في الأثر، فاستصحاب النجاسة المعلومة بالإجمال يجري، و يعارض استصحاب الطهارة، سواء جهل تأريخهما، أو تأريخ أحمدهما، و بعد التعارض يرجع إلى أصل الطهارة، و عليك بالتأمل التامّ في أطراف ما ذكرنا، فإنَّه حقيق بذلك</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614089_3804643083"/>
      <w:bookmarkStart w:id="290" w:name="_Toc105"/>
      <w:bookmarkEnd w:id="289"/>
      <w:r>
        <w:rPr>
          <w:rtl w:val="true"/>
        </w:rPr>
        <w:t>حول كلام بعض العلماء و ما فيه</w:t>
      </w:r>
      <w:bookmarkEnd w:id="290"/>
    </w:p>
    <w:p>
      <w:pPr>
        <w:pStyle w:val="BookText"/>
        <w:rPr/>
      </w:pPr>
      <w:r>
        <w:rPr>
          <w:rFonts w:ascii="Amiri" w:hAnsi="Amiri" w:eastAsia="Amiri" w:cs="Amiri"/>
          <w:color w:val="111111"/>
          <w:sz w:val="28"/>
          <w:sz w:val="28"/>
          <w:szCs w:val="28"/>
          <w:rtl w:val="true"/>
          <w:lang w:bidi="ar-SA"/>
        </w:rPr>
        <w:t>ثمّ إنَّ بعض أعاظم العصر ذهب إلى عدم جريان أصالة عدم المُلاقاة إلى زمان الكرّية حتّى فيما إذا علم تأريخ الكريّة، فحكم فيما إذا كان الماء مسبوقاً بعد م الكرّية و المُلاقاة فتيقّنهما بنجاسة الماء مطلقاً، سواءً جهل تأريخهما، أو علم تاريخ أحدهما؛ لعدم جريان أصالة عدم المُلاقاة إلى زمان الكرّية؛ لأنَّ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هو أنَّه يُعتبر في العاصميّة، و عدم تأثير المُلاقاة سبق الكرّية و لو آناً ما، و كلّ موضوع لا بدّ و أن يكون مُقدّماً على الحكم، فيعتبر في الحكم بعدم التأثير من سبق الكرّية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أصالة عدم المُلاقاة إلى زمان الكرّية لا تثبت سبق الكرّية على المُلاقاة إلى أن</w:t>
      </w:r>
      <w:bookmarkStart w:id="291" w:name="pg2245_12865"/>
    </w:p>
    <w:p>
      <w:pPr>
        <w:pStyle w:val="BookText"/>
        <w:rPr/>
      </w:pPr>
      <w:bookmarkEnd w:id="29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أنَّه لا بدّ من الحكم بالنجاسة في المثال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كون التعليق على الأمر الوجوديّ يقتضي إحرازه لكان ينبغي في المثال الرجوع إلى قاعدة الطهارة عند العلم بتأريخ الكرّية</w:t>
      </w:r>
      <w:r>
        <w:rPr>
          <w:rStyle w:val="FootnoteAnchor"/>
          <w:rtl w:val="true"/>
        </w:rPr>
        <w:footnoteReference w:id="367"/>
      </w:r>
      <w:r>
        <w:rPr>
          <w:rFonts w:ascii="IRNazanin" w:hAnsi="IRNazanin" w:eastAsia="IRNazanin"/>
          <w:color w:val="111111"/>
          <w:sz w:val="28"/>
          <w:sz w:val="28"/>
          <w:szCs w:val="28"/>
          <w:rtl w:val="true"/>
          <w:lang w:bidi="fa-IR"/>
        </w:rPr>
        <w:t>، انتهى</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الانفعال هو الماء الذي لم يبلغ كرّاً بحسب الواقع، فأصالة عدم المُلاقاة إلى زمان الكرّية يترتّب عليها عدم الانفعال؛ فإنَّها تنفي المُلاقاة إلى زمان الكرّية، و عدم مُلاقاة الماء المفروض للنجس إلى زمان الكرّية يكفي في الحكم بطهارته، و لا يلزم إحراز سبق كرّيته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إثبات أحكام سبق الكرّ من إحرازه و لا نحتاج في الحكم بالطهارة إلى إحرازه، بل يكفي فيه التعبّد بعدم المُلاقاة إلى زمانها، و ما ذكره من أنَّ تعليق حكم على أمر وجوديّ يقتضي إحرازه فهو أيضاً ممّا لا دليل عليه سوى الدعوى</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614091_3804643083"/>
      <w:bookmarkStart w:id="293" w:name="_Toc106"/>
      <w:bookmarkEnd w:id="292"/>
      <w:r>
        <w:rPr>
          <w:rtl w:val="true"/>
        </w:rPr>
        <w:t>التنبيه الثامن في موارد التمسّك بالعموم، و استصحاب حكم المخصّص</w:t>
      </w:r>
      <w:bookmarkEnd w:id="293"/>
    </w:p>
    <w:p>
      <w:pPr>
        <w:pStyle w:val="Heading4"/>
        <w:numPr>
          <w:ilvl w:val="3"/>
          <w:numId w:val="1"/>
        </w:numPr>
        <w:rPr/>
      </w:pPr>
      <w:bookmarkStart w:id="294" w:name="__RefHeading___Toc1614093_3804643083"/>
      <w:bookmarkStart w:id="295" w:name="_Toc107"/>
      <w:bookmarkEnd w:id="294"/>
      <w:r>
        <w:rPr>
          <w:rtl w:val="true"/>
        </w:rPr>
        <w:t>اشارة</w:t>
      </w:r>
      <w:bookmarkEnd w:id="29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ورد عموم أفراديّ يتعقّبه دليل مُخرج لبعض أفراده عن حكمه في زمانٍ؛ بحيث لا يكون للدليل المُخرج إطلاق أو عموم بالنسبة إلى غير ذلك الزمان، فهل يتمسّك باستصحاب حكم دليل المُخرج </w:t>
      </w:r>
      <w:r>
        <w:rPr>
          <w:rStyle w:val="FootnoteAnchor"/>
          <w:rtl w:val="true"/>
        </w:rPr>
        <w:footnoteReference w:id="368"/>
      </w:r>
      <w:r>
        <w:rPr>
          <w:rFonts w:ascii="IRNazanin" w:hAnsi="IRNazanin" w:eastAsia="IRNazanin"/>
          <w:color w:val="111111"/>
          <w:sz w:val="28"/>
          <w:sz w:val="28"/>
          <w:szCs w:val="28"/>
          <w:rtl w:val="true"/>
          <w:lang w:bidi="fa-IR"/>
        </w:rPr>
        <w:t xml:space="preserve">أو بعموم العامّ أو إطلاقه </w:t>
      </w:r>
      <w:r>
        <w:rPr>
          <w:rStyle w:val="FootnoteAnchor"/>
          <w:rtl w:val="true"/>
        </w:rPr>
        <w:footnoteReference w:id="369"/>
      </w:r>
      <w:r>
        <w:rPr>
          <w:rFonts w:ascii="Amiri" w:hAnsi="Amiri" w:eastAsia="Amiri" w:cs="Amiri"/>
          <w:color w:val="111111"/>
          <w:sz w:val="28"/>
          <w:sz w:val="28"/>
          <w:szCs w:val="28"/>
          <w:rtl w:val="true"/>
          <w:lang w:bidi="ar-SA"/>
        </w:rPr>
        <w:t xml:space="preserve">أو يفصّل بين المقامات </w:t>
      </w:r>
      <w:r>
        <w:rPr>
          <w:rStyle w:val="FootnoteAnchor"/>
          <w:rtl w:val="true"/>
        </w:rPr>
        <w:footnoteReference w:id="3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الأقوى هو الأوسط</w:t>
      </w:r>
      <w:r>
        <w:rPr>
          <w:rStyle w:val="FootnoteAnchor"/>
          <w:rtl w:val="true"/>
        </w:rPr>
        <w:footnoteReference w:id="371"/>
      </w:r>
      <w:r>
        <w:rPr>
          <w:rFonts w:ascii="Amiri" w:hAnsi="Amiri" w:eastAsia="Amiri" w:cs="Amiri"/>
          <w:color w:val="111111"/>
          <w:sz w:val="28"/>
          <w:sz w:val="28"/>
          <w:szCs w:val="28"/>
          <w:rtl w:val="true"/>
          <w:lang w:bidi="ar-SA"/>
        </w:rPr>
        <w:t>، و يتّضح المرام بعد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يتصوّر ورود العامّ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المُتكلّم الأزمنة مُستقلة على نحو العامّ الاصوليّ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الظرف مُتعلّقاً بالهيئة؛ أي يجب في كلّ يوم إكرام العلماء، و قد يكون مُتعلّقاً بالمادّة؛ أي الإكرام في كلّ يوم واجب، و قد يكون مُتعلّقاً بالموضوع بنحو من التأويل؛ أي يجب إكرام العلماء الكائنين في كلّ يوم، و قد يكون مُتعلّقاً بالنسبة الحكميّة؛ أي ثبوت وجوب إكرام العلماء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التراكيب و إن كانت مُتصوّرة لكنّها مجُرد تصوّر، و إلّا فالظاهر من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خلّيت عن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الظرف مُتعلقاً للنسبة الحكميّة،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العلماء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أنَّ يوم الجمعة ظرف إكرامهم و مجيئهم؛ أعني الإكرام و المجي‌ء المُنتسبين إليهم بما أنّهما منتسبان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يلاحظها بنحو العامّ المجموعيّ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الزمان مُستمرّاً على نحو تحقّقه الاستمراريّ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 مُستمرّاً أو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وجوب الوفاء في كلّ يوم مُستقلًاّ، و لا بنحو العامّ المجموعيّ، حتى لو فرض عدم الوفاء في زمان سقط التكليف بعده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بنحو يكون المطلوب وجوبه مُستمرّاً؛ بحيث لو و فى المُكلّف إلى آخر الأبد يكون مُطيعاً إطاعة واحدة، و لو تخلّف في بعض الأوقات تكون البقيّة مطلوبة لا بطلب مُستقلّ أو مطلوبيّة مُستقلّة، بل بالطلب الأوّل الذي جعل الحكم كلازم الماهيّة للموضوع،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تهن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العبد إهانته مُطلقاً كان مطيعاً له إطاعة</w:t>
      </w:r>
    </w:p>
    <w:p>
      <w:pPr>
        <w:pStyle w:val="BookText"/>
        <w:rPr/>
      </w:pPr>
      <w:r>
        <w:rPr>
          <w:rFonts w:ascii="Amiri" w:hAnsi="Amiri" w:eastAsia="Amiri" w:cs="Amiri"/>
          <w:color w:val="111111"/>
          <w:sz w:val="28"/>
          <w:sz w:val="28"/>
          <w:szCs w:val="28"/>
          <w:rtl w:val="true"/>
          <w:lang w:bidi="ar-SA"/>
        </w:rPr>
        <w:t>واحدة، و لو أهانه يوماً عصاه، و لكن تكون إهانته محرّمة عليه بعده أيضاً، لا بنحو المطلوبيّة المتُكثّرة المُستقلّة، بل بنحو استمرار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تأتي فيه و فيما قبله التصوّرات المُتقدّمة؛ أي كون القيد للهيئة أو المادّة أو الموضوع أو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الاستمرار و الدوام بنحو الاستمرار المُتقدّم من مقدّمات الحكمة و صون كلام الحكيم عن اللّغوية،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بناءً على استفادة هذا النحو من الاستمرار منه، كما أشار إليه المُحقّق الكركيّ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المحقّق الثاني الشيخ نور الدين أبو الحسن علي بن الحسين الكركي، ولد في لبنان في قرية من قرى بعلبك تسمى كرك نوح سنة ثمانمائة و ثمان و ستين هجرية، و درس حتّى أحاط بعلوم أهل القبلة، ثمَّ هاجر إلى إيران في زمان الشاه إسماعيل الصفوي فجعله في أصفهان شيخاً للإسلام و عيّن له سنوياً سبعين ألف دينار ليصرفها في المدارس، و زاد شأنه في زمان طهماسب، توفي سنة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ترك آثاراً جليلة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الرسالة الجعفرية، حواشي إرشاد الأذهان، رسالة الجمعة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لؤلؤة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الزماني أو الاستمرار الزماني المُستفادين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على العموم الأفراديّ كان القيد للحكم أو للنسبة الحكميّة، و كذا إذا كان مُستفاداً من مقدّمات الحكمة،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بدليل مُنفصل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وجوب إكرامهم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أكرمهم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وجوب إكرامهم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بذلك ما إذا كان الاستمرار مُستفاداً من دليل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تفرّع ما ذكر على العموم الأفراديّ أنَّ الحكم المُتعلّق بالعموم الأفراديّ موضوع للعموم و الاستمرار الزمانيّين، و كذا للإطلاق المُستفاد من دليل الحكمة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تفرّع ما ذكرنا على العموم الأفراديّ هو أنَّ التخصيص الوارد على</w:t>
      </w:r>
    </w:p>
    <w:p>
      <w:pPr>
        <w:pStyle w:val="BookText"/>
        <w:rPr/>
      </w:pPr>
      <w:r>
        <w:rPr>
          <w:rFonts w:ascii="Amiri" w:hAnsi="Amiri" w:eastAsia="Amiri" w:cs="Amiri"/>
          <w:color w:val="111111"/>
          <w:sz w:val="28"/>
          <w:sz w:val="28"/>
          <w:szCs w:val="28"/>
          <w:rtl w:val="true"/>
          <w:lang w:bidi="ar-SA"/>
        </w:rPr>
        <w:t>العموم الأفراديّ رافع لموضوع العموم و الاستمرار الزمانيّين، و كذا لموضوع الإطلاق، فلا يكون مُخالفاً لظهورهما،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رافع لموضوع العموم الزمانيّ و الاستمرار المُستفادين من الدليل اللفظيّ، أو مُقدّمات الإطلاق، و ليس تخصيصاً لعمومه، أو تقييداً لإطلاقه، كما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طائفة منهم خارجة من العلماء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موضوع العموم أو الإطلاق ليس مخالفاً لظهورهما، و ليست أصالة الإطلاق و العموم حافظة لموضوعهما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ورد تخصيص على العموم الزمانيّ أو تقييد على إطلاق دليل العامّ لا يكون مُخالفاً لظهور العامّ؛ لأنَّ مفاد العامّ ليس إلّا دخول كلّ فرد تحت الحكم، و أمّا كونه دائماً أو في كلّ زمان أو مُستمرّاً بدليل الإطلاق، فليس شي‌ء منها بمفادٍ للعقد العموميّ الأفرادي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عموماً فوقانيّاً و عموماً تحتانيّاً، لكلّ منهما ظهور، و التخصيص في كلّ منهما غير التخصيص في الآخر، و كذا حال العموم و الإطلاق، فإنَّ التخصيص في العموم غير التقييد في إطلاقه، فإذا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اقتضت مُقدّمات الحكمة وجوب إكرامهم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مُخصّصاً للعموم، و مُفْنياً لموضوع الإطلاق، فيكون مخالفاً لأصالة العموم، لا أصالة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 منهم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مُقيّداً لإطلاقه، لا مُخصّصاً لعمومه، فلا يكون مُخالفاً لأصالة العموم، بل لأصالة الإطلاق</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ذكرنا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عامّ أفراديّ يتضمّن العموم أو الاستمرار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لغويّة أو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دليل مُخرج لبعض أفراده عن حكم</w:t>
      </w:r>
    </w:p>
    <w:p>
      <w:pPr>
        <w:pStyle w:val="BookText"/>
        <w:rPr/>
      </w:pPr>
      <w:r>
        <w:rPr>
          <w:rFonts w:ascii="Amiri" w:hAnsi="Amiri" w:eastAsia="Amiri" w:cs="Amiri"/>
          <w:color w:val="111111"/>
          <w:sz w:val="28"/>
          <w:sz w:val="28"/>
          <w:szCs w:val="28"/>
          <w:rtl w:val="true"/>
          <w:lang w:bidi="ar-SA"/>
        </w:rPr>
        <w:t>العموم في زمان مُعيّن،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انعقد الإجماع على عدم وجوب إكرام زيد يوم الجمعة،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و انعقد الإجماع على عدم وجوب الوفاء عند ظهور الغبن ساعة، و شكّ بعد يوم الجمعة و بعد الساعة في حكم الفرد لمُخرج لا يجوز التمسّك بالاستصحاب مُطلقاً، سواء لوحظ الزمان أفراداً و على نحو العامّ الاصوليّ، أو ذكر القيد لبيان استمرار الحكم أو المُتعلّق، أو دلّت مُقدّمات الحكمة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لوحظ الزمان مُستقلًاّ فواضح، لأنَّ خروج الفرد في يومٍ تصرُّف في العموم الأفراديّ التحتانيّ، فأصالة العموم مُحكّمة بالنسبة إلى التخصيص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جعل مُستمرّاً أو دائماً أو أبداً ظرفاً للحكم؛ فلأنَّ خروج بعض الأفراد في بعض الأيّام ليس تخصيصاً في العموم الأفراديّ، بل تقييداً و تقطيعاً للاستمرار الذي قامت الحُجّة عليه، و تردّد أمره بين الأقلّ و الأكثر، و لا بدّ من الاكتفاء بالأقلّ، فيكون ظهور الاستمرار في البقيّة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زيادة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له إطلاق بالنسبة إلى الزمان، و ورد دليل منفصل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وجوب إكرام العلماء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قد يدلّ دليل على عدم وجوب إكرام زيد، فيكون مخصّصاً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تصرّفاً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إكرام العلماء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المُقدّمات أنَّ إخراج الموضوع عن الموضوعيّة ليس تصرّفاً في العموم أو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يدلّ على عدم وجوب إكرام زيد في يوم الجمعة، فيكون تصرّفاً في قوله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إكرامهم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المفروض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للعموم الأفراديّ، لا الاستمرار الزمانيّ، فتقطيع زمان من وجوب</w:t>
      </w:r>
    </w:p>
    <w:p>
      <w:pPr>
        <w:pStyle w:val="BookText"/>
        <w:rPr/>
      </w:pPr>
      <w:r>
        <w:rPr>
          <w:rFonts w:ascii="Amiri" w:hAnsi="Amiri" w:eastAsia="Amiri" w:cs="Amiri"/>
          <w:color w:val="111111"/>
          <w:sz w:val="28"/>
          <w:sz w:val="28"/>
          <w:szCs w:val="28"/>
          <w:rtl w:val="true"/>
          <w:lang w:bidi="ar-SA"/>
        </w:rPr>
        <w:t xml:space="preserve">إكرامهم تصرّف فيما يتعرض للاستمرار الزمانيّ، فإذا كان ذلك في كلامٍ واحد و دليل مُتّصل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إلى عموم أفراديّ يدلّ عليه الجمع المُحلّى باللّام، و إلى استمرار الحكم الذي يدلّ عليه ظهور القيد الذي قام مقام مقدّمات الحكمة في بعض المقامات،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تخصيصاً للعموم الأفراديّ،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تكرمه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تقطيعاً لاستمرار الحكم، و كما يكون العموم حجّة في البقيّة لدى العقلاء، يكون ظهور القيد في استمرار الحكم حجّة فيما عدا مورد التقطيع القطعيّ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حال الإطلاق المُستفاد من دليل الحكمة، فلو فرض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بالعموم اللّغويّ على الشمول الأفراديّ يدلّ على الاستمرار الزمانيّ بمقدّمات الحكمة أو مُناسبة الحكم و الموضوع؛ بمعنى أنَّ لزوم الوفاء بكلّ عقدٍ مُستمرّ، لا من قبيل العامّ المجموعيّ، بل بحيث تكون المخالفة في بعض الأزمان لا توجب سقوط المطلوبيّة بالنسبة إلى البقيّة، ثمّ دلّ دليل على عدم وجوب الوفاء بعقد كالعقد الربويّ يكون مُخصّصاً للعموم الأفراديّ، و لا يكون مُقيّداً للإطلاق، بل رافعاً لموضوعه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دلّ دليل على عدم وجوب الوفاء بعقدٍ في زمان، كما لو انعقد الإجماع على عدم وجوب الوفاء بالعقد إذا ظهر الغبن إلى ساعة مثلًا يكون هذا تقييداً لإطلاقه، لا تخصيصاً لعمومه؛ لأنَّ التخصيص عبارة عن إخراج ما يشمله العموم إخراجاً حُكميّاً، و العموم اللّغوي يدلّ على دخول تمام أفراد العقود في وجوب الوفاء من غير تعرّض لحالات الأفراد و أزمانها، و دليل المخرج لا يدلّ على خروج فرد من العامّ رأساً حتّى يكون تخصيصاً، بل يدلّ على خروجه في زمان، و هذا مخالف لظهور الإطلاق في الاستمرار، فإذا شكّ فيما بعد الساعة في لزوم العقد يرجع إلى الشكّ في زيادة التقييد</w:t>
      </w:r>
    </w:p>
    <w:p>
      <w:pPr>
        <w:pStyle w:val="BookText"/>
        <w:rPr/>
      </w:pPr>
      <w:r>
        <w:rPr>
          <w:rFonts w:ascii="Amiri" w:hAnsi="Amiri" w:eastAsia="Amiri" w:cs="Amiri"/>
          <w:color w:val="111111"/>
          <w:sz w:val="28"/>
          <w:sz w:val="28"/>
          <w:szCs w:val="28"/>
          <w:rtl w:val="true"/>
          <w:lang w:bidi="ar-SA"/>
        </w:rPr>
        <w:t>لا التخصيص، فالمرجع هو أصالة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 من ذلك زيادة تخصيص إذا خرج الفرد في ساعة أو بعد الساعة مُستمرّاً</w:t>
      </w:r>
      <w:r>
        <w:rPr>
          <w:rStyle w:val="FootnoteAnchor"/>
          <w:rtl w:val="true"/>
        </w:rPr>
        <w:footnoteReference w:id="375"/>
      </w:r>
      <w:r>
        <w:rPr>
          <w:rFonts w:ascii="Amiri" w:hAnsi="Amiri" w:eastAsia="Amiri" w:cs="Amiri"/>
          <w:color w:val="111111"/>
          <w:sz w:val="28"/>
          <w:sz w:val="28"/>
          <w:szCs w:val="28"/>
          <w:rtl w:val="true"/>
          <w:lang w:bidi="ar-SA"/>
        </w:rPr>
        <w:t>خلط بين التخصيص و التقييد؛ لأنَّ خروج الفرد في ساعة تقييد لا تخصيص، و خروجه في الزائد عن الساعة تقييد زائد يدفع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المُطلق في سائر المقامات و هاهنا؛ فإنَّ الأوّل يشمل ما تحته من الجزئيات في عرض واحد، و الحكم إنّما تعلّق به بلحاظ الخارج، فاستقرّ ظهور القضيّة في الحكم على كلّ ما يدخل تحته بدلًا أو استغراقاً، فإذا خرج مُنفصلًا شي‌ء بقي الباقي بنفس ظهور الأوّل المُستقرّ، و في المقام أنَّ الزمان في حدّ ذاته أمر واحد مُستمرّ ليس جامعاً لأفراد كثيرة، إلّا أن يقطّع بالملاحظة، و تُجعل كلّ قطعة ملحوظةً في القضيّة، و أمّا إذا لم يلحظ كذلك كما إذا كان الاستمرار بمُقدّمات الحكمة، فلازمه الاستمرار من أوّل وجود الفرد إلى آخره، فإذا انقطع الاستمرار بخروج فرد يوم الجمعة مثلًا، فليس لهذا العامّ دلالة على دخول ذلك الفرد يوم السبت؛ إذ لو كان داخلًا لم يكن هذا الحكم استمراراً للحكم السابق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ما أفاده شيخنا العلّامة أعلى اللَّه مقامه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المُطلق في سائر المقامات أيضاً لا يفيد الحكم للأفراد، و لا يكون الحكم بلحاظ الأفراد الخارجيّة استغراقاً أو بدلًا، و لم يكن المُطلق بعد تماميّة مُقدّمات الإطلاق كالعامّ مفاداً، بل ليس مُقتضى الإطلاق بعد تماميّة المُقدّمات، إلّا أنَّ ما اخذ في الموضوع تمام الموضوع للحكم، كما هو المُقرّر في محلّه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الزمان أمراً مُستمرّاً واحداً لا يلازم كون مُقتضى الإطلاق وحدة الحكم؛ بحيث إذا انقطع في زمان انقطع مطلقاً، فإنَّ لازم ذلك أن يكون موضوع الحكم كالعامّ المجموعيّ، و لازمه عدم لزوم الإطاعة لو عصاه في زمان، مع أنَّ الواقع في أشباه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 بل فرض مثل العموم المجموعيّ المُقتضي لانتفاء الحكم بانتفاء جزء من الزمان خروج عن محطّ البحث، فحينئذٍ لو خرج جزء من الزمان لا مانع من التمسّك بالإطلاق بالنسبة إلى سائر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و إن كان واحداً مُستمرّاً تتقدّم أجزاؤه الفرضيّة بعضها على بعض، لكنّ الحكم المُستفاد من الإطلاق بالنسبة إلى أجزائه عرضيّ، لكن لا بمعنى كون مُقتضى الإطلاق شمول المُطلق للأجزاء، بل بمعنى لزوم الوفاء بالعقد مثلًا من غير تقييدٍ بزمان، فيجب الوفاء عليه بالنسبة إلى الأجزاء الغير الآتية في الحال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استمرار الحكم و دوامه فرع وجود الحكم؛ لأنَّ الحكم بمنزلة الموضوع بالنسبة إليه، فإذا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يُستفاد ذلك من مُقدّمات الحكمة لا يُمكن التمسّك بظهور القيد أو أصالة الإطلاق لكشف حال الحكم؛ فإنَّه من قبيل إثبات الموضوع بالحكم و هو محال، فالعموم الزمانيّ إذا كان مصبّه نفس الحكم يكون دائماً مشروطاً بوجود الحكم، و لا يمكن أن يدلّ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مُستمرّ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الحكم مع الشكّ فيه، و كذا لو كان استمراره مُقتضى مقدّمات الحكمة، فإنَّ الإطلاق أيضاً فرع الحكم، و مع الشكّ فيه لا يمكن أن يرجع إليه لكشف حاله؛ لأنَّه من قبيل إثبات الموضوع بالحكم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ترى أنَّه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 في وجود العالم لا يمكن إثباته بعمومه؛ لأنَّ إثبات الموضوع بالحكم كتحقّقه به محال، كذلك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ذلك مقتضى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إذا كان مصبّ العموم الزمانيّ مُتعلّق الحكم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ظرفاً للمُتعلّق، فإنَّ التمسّك بالعموم فيه في مورد الشكّ لا مانع منه؛ لأنَّ العموم الزمانيّ فيه تحت دائرة الحكم، كما أنَّه في الأوّل يكون فوق دائرة الحكم، و هذا هو المناط لجواز التمسّك و لا 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ملخّص ما فصّله بعض أعاظم العصر رحمه اللَّه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جواز كشف الموضوع بالحكم و إثباته به إنّما هو فيما إذا تعلّق الحكم بموضوع مفروض الوجود، كالقضايا الحقيقيّة،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حاصل مفاده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وجد في الخارج و كان عالماً يجب إكرامه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في مثل تلك القضايا إثبات الموضوع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المحمول بدلالة لغويّة يدل على وجود الحكم في جميع الأزمان استقلالًا، أو على نحو الاستمرار فيكشف عن حاله،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وجوب إكرام العلماء مُستمرّ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يشكّ في أصل تعلّق وجوب الإكرام بالفسّاق مثلًا؛ أي يشكّ في التخصيص، فلا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لهذا الشكّ، بل الرافع له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شكّ في وجوب إكرامه في يوم كذائيّ بعد العلم بأصل وجوب الإكرام؛ أي يشكّ في استمرار الحكم،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كاشفاً عن استمراره و تحقّقه في اليوم المشكوك فيه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الحكم بالنسبة إلى المحمول؛ أى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مفروض الوجود، كما فى القضايا الحقيقيّة، و أمّا بالنسبة إلى استمراره فلا يمكن أن يؤخذ كذلك لأنَّه يلزم أن ترجع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حكمي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قضيّة ضروريّة بشرط المحمول؛ أي حكمي المفروض استمراره مُستمرّ، و هو كما ترى</w:t>
      </w:r>
      <w:bookmarkStart w:id="296" w:name="pg2245_12885"/>
    </w:p>
    <w:p>
      <w:pPr>
        <w:pStyle w:val="BookText"/>
        <w:rPr/>
      </w:pPr>
      <w:bookmarkEnd w:id="296"/>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طبيعة الحكم بنحو الإهمال، و يكون المحمول دالّاً على استمراره و بقائه، فإذا شكّ في مهملة الحكم الذي هو موضوع للقضيّة فلا يمكن إثباته بالمحمول؛ لأنَّ الحكم بنحو الاهمال اخذ مفروض الوجود، و أمّا إذا علم أصل وجود الحكم، و شكّ في بقائه و استمراره، فلا يكون ذلك شكّاً في الحكم، بل فى استمراره، و لا يكون استمرار الحكم موضوعاً لاستمراره بالضرورة، فما كشف عن حاله هو استمرار الحكم و هو ليس بموضوع، و ما هو موضوع و هو نفس الحكم ليس هو كاشفاً عنه و مُثبتاً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هو التمسّك بإطلاق دليل العامّ أو عمومه كلّما شكّ في خروج ما زاد على القدر المُتيقّن عن حكم العامّ في الزمان المُتأخّر</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614095_3804643083"/>
      <w:bookmarkStart w:id="298" w:name="_Toc108"/>
      <w:bookmarkEnd w:id="297"/>
      <w:r>
        <w:rPr>
          <w:rtl w:val="true"/>
        </w:rPr>
        <w:t>تقرير التفصيل بين الخروج من الأوّل و الأثناء</w:t>
      </w:r>
      <w:bookmarkEnd w:id="29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ما ذكرت من أنَّ العموم و الإطلاق الزمانيّين سواءً كانا مُستفادين من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مقدّمات الحكمة مُتفرّعان على العموم الأفراديّ، و أنَّ محطّ التخصيص الأفراديّ غير محطّ التخصيص و التقييد الزمانيين هو التفصيل بين ما إذا خرج في أوّل الزمان و شكّ في خروجه مُطلقاً أو في زمان، و بين ما إذا خرج في الأثناء مع العلم بدخوله قبل زمان الخروج، فيتمسّك بالاستصحاب في الأوّل، و بعموم الدليل أو إطلاقه في الثاني؛ لأنَّ الأمر في الأوّل دائر بين التخصيص الفرديّ، و بين التخصيص الزمانيّ أو تقييد الإطلاق، فيكون من قبيل العلم الإجماليّ بورود تخصيص، إمّا في العامّ الفوقانيّ فلا يكون مخالفة للعامّ التحتانيّ، و إمّا في العامّ التحتانيّ فلا يكون مخالفة للعامّ الفوقانيّ، أو يكون</w:t>
      </w:r>
    </w:p>
    <w:p>
      <w:pPr>
        <w:pStyle w:val="BookText"/>
        <w:rPr/>
      </w:pPr>
      <w:r>
        <w:rPr>
          <w:rFonts w:ascii="Amiri" w:hAnsi="Amiri" w:eastAsia="Amiri" w:cs="Amiri"/>
          <w:color w:val="111111"/>
          <w:sz w:val="28"/>
          <w:sz w:val="28"/>
          <w:szCs w:val="28"/>
          <w:rtl w:val="true"/>
          <w:lang w:bidi="ar-SA"/>
        </w:rPr>
        <w:t>من قبيل العلم الإجماليّ بورود تخصيص في العامّ، مع بقاء الإطلاق على ظاهره؛ لأنَّ الإخراج الموضوعيّ ليس مُخالفة للإطلاق أو تقييداً في الإطلاق مع حفظ ظاهر العموم؛ لأنَّ تقييد إطلاق دليل العامّ ليس تخصيصاً حتّى يخالف أصالة العموم، فبعد تعارض الأصلين يتمسّك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خروجه من الأثناء في الجملة، و لا يعلم أنَّه خارج مُطلقاً أو من الأثناء فقط، فيدور الأمر بين التخصيص الفرديّ و الزمانيّ، أو التخصيص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الخارج من الأثناء مع العلم بدخوله تحت حكم العامّ قبل زمان القطع بخروجه كخيار التأخير و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ظهور الغبن شرطاً شرعيّاً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فيتمسّك بالعموم أو الإطلاق للقطع بعدم التخصيص الفرديّ، بل الأمر دائر بين قلّة التخصيص و كثرته، أو قلّة التقييد و كثرته، فيؤخذ بالقدر المُتيقّن، و يتمسّك في المشكوك فيه بأصالة العموم أو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التفصيل تقريباً عكس التفصيل الذي اختاره المُحقّق الخراسانيّ و شيخنا العلّامة في مجلس بحثه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العموم جارية في العموم الأفراديّ الفوقاني، و لا تعارضها أصالة العموم في العامّ التحتانيّ الزمانيّ، و لا أصالة الإطلاق؛ لأنَّ التعارض فرع كون المُتعارضين في رتبة واحدة، و العموم الأفراديّ في رتبة موضوع العموم و الإطلاق الزمانيّين، ففي الرتبة المُتقدّمة تجري أصالة العموم من غير مُعارض، فيرجع التخصيص أو التقييد إلى الرتبة المُتأخّرة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في إجراء الاصول لا ينظرون إلى أمثال هذه</w:t>
      </w:r>
    </w:p>
    <w:p>
      <w:pPr>
        <w:pStyle w:val="BookText"/>
        <w:rPr/>
      </w:pPr>
      <w:r>
        <w:rPr>
          <w:rFonts w:ascii="Amiri" w:hAnsi="Amiri" w:eastAsia="Amiri" w:cs="Amiri"/>
          <w:color w:val="111111"/>
          <w:sz w:val="28"/>
          <w:sz w:val="28"/>
          <w:szCs w:val="28"/>
          <w:rtl w:val="true"/>
          <w:lang w:bidi="ar-SA"/>
        </w:rPr>
        <w:t>التقدّمات و التأخّرات الرتبيّة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لزوم كون المُتعارضين في رتبة واحدة في التعارض بالعرض في حيّز المنع؛ فإنَّ العلم الإجماليّ بوقوع خلاف ظاهر إمّا في العامّ الفوقاني أو في العامّ التحتانيّ مُوجب لسقوط الأصلين العقلائيّين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ورود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الحُجّة على مفاده، إذا ورد دليل على عدم وجوب إكرام زيد، و كان المُتيقّن منه هو عدمه يوم الجمعة مثلًا، فرفع اليد عن العموم أو الإطلاق في غير يوم الجمعة رفع اليد عن الحُجّة من غير حُجّة لدى العقلاء، فالمورد من قبيل دوران التخصيص أو التقييد بين الأقلّ و الأكثر، فلا بدّ من الاكتفاء بالأقلّ في رفع اليد عن الحُجّة الفعليّة، و العلم الإجماليّ المُدّعى كالعلم الإجماليّ بين الأقلّ و الأكثر المُنحلّ عند العقلاء، و بالرجوع إلى الوجدان و بناء العُقلاء يظهر صدق 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أيضاً محلّ إشكال بل منع؛ لأنَّ مورد الأقلّ و الأكثر إنّما هو فيما علم ورود التخصيص على أحد العامّين، و شكّ في الأقلّ و الأكثر في أفراده، و أمّا مع العلم بورود التخصيص آناً في الفوقانيّ أو التحتانيّ فلا؛ لأنَّ أفراد كلٍّ منهما تباين الأفراد الاخرى، فلا معنى للأقلّ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أصالة العموم و الإطلاق في التحتانيّ؛ لما حقّقناه في العامّ و الخاصّ من أنَّ مورد جريانهما فيهما إذا شكّ في المُراد، لا فيما علم المُراد و دار الأمر بين التخصيص و التخصّص </w:t>
      </w:r>
      <w:r>
        <w:rPr>
          <w:rStyle w:val="FootnoteAnchor"/>
          <w:rtl w:val="true"/>
        </w:rPr>
        <w:footnoteReference w:id="380"/>
      </w:r>
      <w:r>
        <w:rPr>
          <w:rFonts w:ascii="Amiri" w:hAnsi="Amiri" w:eastAsia="Amiri" w:cs="Amiri"/>
          <w:color w:val="111111"/>
          <w:sz w:val="28"/>
          <w:sz w:val="28"/>
          <w:szCs w:val="28"/>
          <w:rtl w:val="true"/>
          <w:lang w:bidi="ar-SA"/>
        </w:rPr>
        <w:t>، مُضافاً إلى أنَّ هذه الاصول إنّما جرت في مورد يترتّب عليها أثر عمليّ لا مُطلقاً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جريانهما في التحتانيّ غير ذي أثر؛ للعلم بخروج اليوم الأوّل</w:t>
      </w:r>
      <w:bookmarkStart w:id="299" w:name="pg2245_12891"/>
    </w:p>
    <w:p>
      <w:pPr>
        <w:pStyle w:val="BookText"/>
        <w:rPr/>
      </w:pPr>
      <w:bookmarkEnd w:id="299"/>
      <w:r>
        <w:rPr>
          <w:rFonts w:ascii="Amiri" w:hAnsi="Amiri" w:eastAsia="Amiri" w:cs="Amiri"/>
          <w:color w:val="111111"/>
          <w:sz w:val="28"/>
          <w:sz w:val="28"/>
          <w:szCs w:val="28"/>
          <w:rtl w:val="true"/>
          <w:lang w:bidi="ar-SA"/>
        </w:rPr>
        <w:t>مثلًا، فلا يعقل جريانهما لإدخال ما علم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اجري الأصل لاثبات لازمه و هو ورود التخصيص على الفوقانيّ، فمع بطلانه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إثبات اللّازم فرع إثبات الملزوم الممتنع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إثبات اللّازم عدم الملزوم؛ لأنَّه موضوعه، و مع رفعه يرفع الحكم، فيلزم من وجوده عدم الوجود</w:t>
      </w:r>
      <w:r>
        <w:rPr>
          <w:rStyle w:val="FootnoteAnchor"/>
          <w:rtl w:val="true"/>
        </w:rPr>
        <w:footnoteReference w:id="381"/>
      </w:r>
      <w:r>
        <w:rPr>
          <w:rFonts w:ascii="Amiri" w:hAnsi="Amiri" w:eastAsia="Amiri" w:cs="Amiri"/>
          <w:color w:val="111111"/>
          <w:sz w:val="28"/>
          <w:sz w:val="28"/>
          <w:szCs w:val="28"/>
          <w:rtl w:val="true"/>
          <w:lang w:bidi="ar-SA"/>
        </w:rPr>
        <w:t>، و أيضاً إنّا نعلم بعدم جريان الأصل في التحتانيّ إمّا لورود التخصيص به، أو بالفوقانيّ الرافع لموضوعه، فتدبّر جيّداً</w:t>
      </w:r>
    </w:p>
    <w:p>
      <w:pPr>
        <w:pStyle w:val="BookText"/>
        <w:rPr/>
      </w:pPr>
      <w:r>
        <w:rPr>
          <w:rFonts w:ascii="Amiri" w:hAnsi="Amiri" w:eastAsia="Amiri" w:cs="Amiri"/>
          <w:color w:val="111111"/>
          <w:sz w:val="28"/>
          <w:sz w:val="28"/>
          <w:szCs w:val="28"/>
          <w:rtl w:val="true"/>
          <w:lang w:bidi="ar-SA"/>
        </w:rPr>
        <w:t>فتحصّل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في جميع الموارد ممّا هو مَحطّ البحث، هو الرجوع لدليل العامّ أو المُطلق، و لو فرض عدم جريان أصالة العموم و الإطلاق في المقام فالتمسّك باستصحاب حكم المُخصّص أو المُقيّد فرع وحدة القضيّة المُتيقّنة و المشكوك فيها، و تحقّق سائر شرائط جريانه، و لا تأثير لدليل العامّ في جريانه و لا جريانه، فما ظهر من الشيخ الأعظم ممّا هو خلاف ذلك </w:t>
      </w:r>
      <w:r>
        <w:rPr>
          <w:rStyle w:val="FootnoteAnchor"/>
          <w:rtl w:val="true"/>
        </w:rPr>
        <w:footnoteReference w:id="382"/>
      </w:r>
      <w:r>
        <w:rPr>
          <w:rFonts w:ascii="IRNazanin" w:hAnsi="IRNazanin" w:eastAsia="IRNazanin"/>
          <w:color w:val="111111"/>
          <w:sz w:val="28"/>
          <w:sz w:val="28"/>
          <w:szCs w:val="28"/>
          <w:rtl w:val="true"/>
          <w:lang w:bidi="fa-IR"/>
        </w:rPr>
        <w:t>و تبعه بعض أعاظم العصر</w:t>
      </w:r>
      <w:r>
        <w:rPr>
          <w:rStyle w:val="FootnoteAnchor"/>
          <w:rtl w:val="true"/>
        </w:rPr>
        <w:footnoteReference w:id="383"/>
      </w:r>
      <w:r>
        <w:rPr>
          <w:rFonts w:ascii="Amiri" w:hAnsi="Amiri" w:eastAsia="Amiri" w:cs="Amiri"/>
          <w:color w:val="111111"/>
          <w:sz w:val="28"/>
          <w:sz w:val="28"/>
          <w:szCs w:val="28"/>
          <w:rtl w:val="true"/>
          <w:lang w:bidi="ar-SA"/>
        </w:rPr>
        <w:t>منظور فيه</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614097_3804643083"/>
      <w:bookmarkStart w:id="301" w:name="_Toc109"/>
      <w:bookmarkEnd w:id="300"/>
      <w:r>
        <w:rPr>
          <w:rtl w:val="true"/>
        </w:rPr>
        <w:t>التنبيه التاسع المُراد من الشكّ في الأدلّة</w:t>
      </w:r>
      <w:bookmarkEnd w:id="301"/>
    </w:p>
    <w:p>
      <w:pPr>
        <w:pStyle w:val="BookText"/>
        <w:rPr/>
      </w:pPr>
      <w:r>
        <w:rPr>
          <w:rFonts w:ascii="Amiri" w:hAnsi="Amiri" w:eastAsia="Amiri" w:cs="Amiri"/>
          <w:color w:val="111111"/>
          <w:sz w:val="28"/>
          <w:sz w:val="28"/>
          <w:szCs w:val="28"/>
          <w:rtl w:val="true"/>
          <w:lang w:bidi="ar-SA"/>
        </w:rPr>
        <w:t>المُراد بالشكّ المُقابل لليقين في أدلّة الاستصحاب، ليس الاحتمال المساوي بالنسبة إلى البقاء و اللّابقاء، بل هو خلاف اليقين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موافق للعرف العامّ و اللّغة</w:t>
      </w:r>
      <w:r>
        <w:rPr>
          <w:rStyle w:val="FootnoteAnchor"/>
          <w:rtl w:val="true"/>
        </w:rPr>
        <w:footnoteReference w:id="384"/>
      </w:r>
      <w:r>
        <w:rPr>
          <w:rFonts w:ascii="Amiri" w:hAnsi="Amiri" w:eastAsia="Amiri" w:cs="Amiri"/>
          <w:color w:val="111111"/>
          <w:sz w:val="28"/>
          <w:sz w:val="28"/>
          <w:szCs w:val="28"/>
          <w:rtl w:val="true"/>
          <w:lang w:bidi="ar-SA"/>
        </w:rPr>
        <w:t>، و أمّا كونه الاحتمال المُساوي مقابل</w:t>
      </w:r>
    </w:p>
    <w:p>
      <w:pPr>
        <w:pStyle w:val="BookText"/>
        <w:rPr/>
      </w:pPr>
      <w:r>
        <w:rPr>
          <w:rFonts w:ascii="Amiri" w:hAnsi="Amiri" w:eastAsia="Amiri" w:cs="Amiri"/>
          <w:color w:val="111111"/>
          <w:sz w:val="28"/>
          <w:sz w:val="28"/>
          <w:szCs w:val="28"/>
          <w:rtl w:val="true"/>
          <w:lang w:bidi="ar-SA"/>
        </w:rPr>
        <w:t xml:space="preserve">الظنّ و غيره فهو اصطلاح خاصّ بين المنطقيّين </w:t>
      </w:r>
      <w:r>
        <w:rPr>
          <w:rStyle w:val="FootnoteAnchor"/>
          <w:rtl w:val="true"/>
        </w:rPr>
        <w:footnoteReference w:id="385"/>
      </w:r>
      <w:r>
        <w:rPr>
          <w:rFonts w:ascii="Amiri" w:hAnsi="Amiri" w:eastAsia="Amiri" w:cs="Amiri"/>
          <w:color w:val="111111"/>
          <w:sz w:val="28"/>
          <w:sz w:val="28"/>
          <w:szCs w:val="28"/>
          <w:rtl w:val="true"/>
          <w:lang w:bidi="ar-SA"/>
        </w:rPr>
        <w:t xml:space="preserve">، و تبعهم غيرهم من أرباب الاصطلاح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مُقتضى مقابلته باليقين في الأخبار و مُناسبة الحكم و الموضوع، و قد عرفت سابقاً</w:t>
      </w:r>
      <w:r>
        <w:rPr>
          <w:rStyle w:val="FootnoteAnchor"/>
          <w:rtl w:val="true"/>
        </w:rPr>
        <w:footnoteReference w:id="387"/>
      </w:r>
      <w:r>
        <w:rPr>
          <w:rFonts w:ascii="Amiri" w:hAnsi="Amiri" w:eastAsia="Amiri" w:cs="Amiri"/>
          <w:color w:val="111111"/>
          <w:sz w:val="28"/>
          <w:sz w:val="28"/>
          <w:szCs w:val="28"/>
          <w:rtl w:val="true"/>
          <w:lang w:bidi="ar-SA"/>
        </w:rPr>
        <w:t>أنَّ المُراد باليقين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المُناسبات المغروسة في أذهان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الحُجّة، فمقابله اللّاحجّة،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رفع اليد عن الحُجّة بغير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لقد ذكرنا في باب جواز استصحاب مُؤدّى الأمارات بعض المُؤيّدات و الشواهد لذلك فراجع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بناءً على ما ذكرنا</w:t>
      </w:r>
      <w:r>
        <w:rPr>
          <w:rStyle w:val="FootnoteAnchor"/>
          <w:rtl w:val="true"/>
        </w:rPr>
        <w:footnoteReference w:id="389"/>
      </w:r>
      <w:r>
        <w:rPr>
          <w:rFonts w:ascii="Amiri" w:hAnsi="Amiri" w:eastAsia="Amiri" w:cs="Amiri"/>
          <w:color w:val="111111"/>
          <w:sz w:val="28"/>
          <w:sz w:val="28"/>
          <w:szCs w:val="28"/>
          <w:rtl w:val="true"/>
          <w:lang w:bidi="ar-SA"/>
        </w:rPr>
        <w:t>من أنَّ المأخوذ في موضوع الاستصحاب هو اليقين 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ما أفاده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الموضوع هو الكون السابق و الشكّ اللّاحق </w:t>
      </w:r>
      <w:r>
        <w:rPr>
          <w:rStyle w:val="FootnoteAnchor"/>
          <w:rtl w:val="true"/>
        </w:rPr>
        <w:footnoteReference w:id="390"/>
      </w:r>
      <w:r>
        <w:rPr>
          <w:rFonts w:ascii="Amiri" w:hAnsi="Amiri" w:eastAsia="Amiri" w:cs="Amiri"/>
          <w:color w:val="111111"/>
          <w:sz w:val="28"/>
          <w:sz w:val="28"/>
          <w:szCs w:val="28"/>
          <w:rtl w:val="true"/>
          <w:lang w:bidi="ar-SA"/>
        </w:rPr>
        <w:t>، و ما أفاده المُحقّق الخراسانيّ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مفاد الأدلّة جعل المُلازمة بين الكون السابق و الكون اللّاحق </w:t>
      </w:r>
      <w:r>
        <w:rPr>
          <w:rStyle w:val="FootnoteAnchor"/>
          <w:rtl w:val="true"/>
        </w:rPr>
        <w:footnoteReference w:id="391"/>
      </w:r>
      <w:r>
        <w:rPr>
          <w:rFonts w:ascii="Amiri" w:hAnsi="Amiri" w:eastAsia="Amiri" w:cs="Amiri"/>
          <w:color w:val="111111"/>
          <w:sz w:val="28"/>
          <w:sz w:val="28"/>
          <w:szCs w:val="28"/>
          <w:rtl w:val="true"/>
          <w:lang w:bidi="ar-SA"/>
        </w:rPr>
        <w:t>فلا مجال للاستدلال للمُدّعى بما ذكرناه؛ لعدم المقابلة بين الشكّ و اليقين تأمّل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أصل المسألة، و تدلّ عليه صحيحتا زرارة</w:t>
      </w:r>
      <w:r>
        <w:rPr>
          <w:rStyle w:val="FootnoteAnchor"/>
          <w:rtl w:val="true"/>
        </w:rPr>
        <w:footnoteReference w:id="392"/>
      </w:r>
      <w:r>
        <w:rPr>
          <w:rFonts w:ascii="Amiri" w:hAnsi="Amiri" w:eastAsia="Amiri" w:cs="Amiri"/>
          <w:color w:val="111111"/>
          <w:sz w:val="28"/>
          <w:sz w:val="28"/>
          <w:szCs w:val="28"/>
          <w:rtl w:val="true"/>
          <w:lang w:bidi="ar-SA"/>
        </w:rPr>
        <w:t xml:space="preserve">كما أفاد الشيخ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الاستدلال بالإجماع التقديريّ </w:t>
      </w:r>
      <w:r>
        <w:rPr>
          <w:rStyle w:val="FootnoteAnchor"/>
          <w:rtl w:val="true"/>
        </w:rPr>
        <w:footnoteReference w:id="394"/>
      </w:r>
      <w:r>
        <w:rPr>
          <w:rFonts w:ascii="Amiri" w:hAnsi="Amiri" w:eastAsia="Amiri" w:cs="Amiri"/>
          <w:color w:val="111111"/>
          <w:sz w:val="28"/>
          <w:sz w:val="28"/>
          <w:szCs w:val="28"/>
          <w:rtl w:val="true"/>
          <w:lang w:bidi="ar-SA"/>
        </w:rPr>
        <w:t>فلا يرجع إلى محصّل؛ لأنَّ المناط في حجّية الإجماع هو الكشف عن دليل مُعتبر، و لا معنى للكشف التقديريّ أو الدليل المُعتبر التقديريّ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تعرّضنا لعاشر التنبيهات في مبحث البراءة و هو استصحاب صحّة العبادة عند الشكّ في طروّ مُفسد</w:t>
      </w:r>
      <w:r>
        <w:rPr>
          <w:rStyle w:val="FootnoteAnchor"/>
          <w:rtl w:val="true"/>
        </w:rPr>
        <w:footnoteReference w:id="395"/>
      </w:r>
      <w:r>
        <w:rPr>
          <w:rFonts w:ascii="Amiri" w:hAnsi="Amiri" w:eastAsia="Amiri" w:cs="Amiri"/>
          <w:color w:val="111111"/>
          <w:sz w:val="28"/>
          <w:sz w:val="28"/>
          <w:szCs w:val="28"/>
          <w:rtl w:val="true"/>
          <w:lang w:bidi="ar-SA"/>
        </w:rPr>
        <w:t xml:space="preserve">، و كذا حاله فيما إذا تعذّر بعض أجزاء المُركّب </w:t>
      </w:r>
      <w:r>
        <w:rPr>
          <w:rStyle w:val="FootnoteAnchor"/>
          <w:rtl w:val="true"/>
        </w:rPr>
        <w:footnoteReference w:id="396"/>
      </w:r>
      <w:r>
        <w:rPr>
          <w:rFonts w:ascii="Amiri" w:hAnsi="Amiri" w:eastAsia="Amiri" w:cs="Amiri"/>
          <w:color w:val="111111"/>
          <w:sz w:val="28"/>
          <w:sz w:val="28"/>
          <w:szCs w:val="28"/>
          <w:rtl w:val="true"/>
          <w:lang w:bidi="ar-SA"/>
        </w:rPr>
        <w:t>، فلا داعي للتكرار</w:t>
      </w:r>
      <w:r>
        <w:rPr>
          <w:rFonts w:eastAsia="Amiri" w:cs="Amiri" w:ascii="Amiri" w:hAnsi="Amiri"/>
          <w:color w:val="111111"/>
          <w:sz w:val="28"/>
          <w:szCs w:val="28"/>
          <w:rtl w:val="true"/>
          <w:lang w:bidi="ar-SA"/>
        </w:rPr>
        <w:t>.</w:t>
      </w:r>
      <w:bookmarkStart w:id="302" w:name="pg2245_12898"/>
    </w:p>
    <w:p>
      <w:pPr>
        <w:pStyle w:val="Heading2"/>
        <w:numPr>
          <w:ilvl w:val="1"/>
          <w:numId w:val="1"/>
        </w:numPr>
        <w:rPr/>
      </w:pPr>
      <w:bookmarkStart w:id="303" w:name="__RefHeading___Toc1614099_3804643083"/>
      <w:bookmarkStart w:id="304" w:name="_Toc110"/>
      <w:bookmarkEnd w:id="302"/>
      <w:bookmarkEnd w:id="303"/>
      <w:r>
        <w:rPr>
          <w:rtl w:val="true"/>
        </w:rPr>
        <w:t>خاتمة</w:t>
      </w:r>
      <w:bookmarkEnd w:id="304"/>
    </w:p>
    <w:p>
      <w:pPr>
        <w:pStyle w:val="Heading3"/>
        <w:numPr>
          <w:ilvl w:val="2"/>
          <w:numId w:val="1"/>
        </w:numPr>
        <w:rPr/>
      </w:pPr>
      <w:bookmarkStart w:id="305" w:name="__RefHeading___Toc1614101_3804643083"/>
      <w:bookmarkStart w:id="306" w:name="_Toc111"/>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يعتبر في جريان الاستصحاب امور</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614103_3804643083"/>
      <w:bookmarkStart w:id="308" w:name="_Toc112"/>
      <w:bookmarkEnd w:id="307"/>
      <w:r>
        <w:rPr>
          <w:rtl w:val="true"/>
        </w:rPr>
        <w:t>الأمر الأوّل وحدة القضيّة المتيقّنة و المشكوك فيها</w:t>
      </w:r>
      <w:bookmarkEnd w:id="308"/>
    </w:p>
    <w:p>
      <w:pPr>
        <w:pStyle w:val="Heading4"/>
        <w:numPr>
          <w:ilvl w:val="3"/>
          <w:numId w:val="1"/>
        </w:numPr>
        <w:rPr/>
      </w:pPr>
      <w:bookmarkStart w:id="309" w:name="__RefHeading___Toc1614105_3804643083"/>
      <w:bookmarkStart w:id="310" w:name="_Toc113"/>
      <w:bookmarkEnd w:id="309"/>
      <w:r>
        <w:rPr>
          <w:rtl w:val="true"/>
        </w:rPr>
        <w:t>اشارة</w:t>
      </w:r>
      <w:bookmarkEnd w:id="31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 أنَّه لا إشكال في أنَّ اليقين و الشكّ و كذا الظنّ لا تتعلّق بالأُمور التصوّرية، بل لا يُمكن أن تتعلّق بها، فلا معنى لتعلّق اليقين بزيد و القيام و النسبة بمعانيها التصوّرية، بل المُتعلّق لها ليس إلّا مفاد القضايا، فمعنى اليقين بالطهارة ليس إلّا اليقين بأنَّ الطهارة موجودة على نعت الكون المحموليّ، أو أنّي متطهّر على نعت الكون الرابط، كما أنَّ معنى اليقين بوجود زيد أو بزيد اليقين بأنَّ زيداً موجود</w:t>
      </w:r>
      <w:r>
        <w:rPr>
          <w:rFonts w:eastAsia="Amiri" w:cs="Amiri" w:ascii="Amiri" w:hAnsi="Amiri"/>
          <w:color w:val="111111"/>
          <w:sz w:val="28"/>
          <w:szCs w:val="28"/>
          <w:rtl w:val="true"/>
          <w:lang w:bidi="ar-SA"/>
        </w:rPr>
        <w:t>.</w:t>
      </w:r>
      <w:bookmarkStart w:id="311" w:name="pg2245_12901"/>
    </w:p>
    <w:p>
      <w:pPr>
        <w:pStyle w:val="BookText"/>
        <w:rPr/>
      </w:pPr>
      <w:bookmarkEnd w:id="311"/>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اليقين و الشكّ إلّا بمفاد القضايا و الامور 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الاستصحاب من قضيّة مُتعلّقة لليقين و الشكّ، و لا بدّ و أن يتعلّق الشكّ بعين ما تعلّق به اليقين، فلا بدّ من وحدة القضيّة المتيقّنة و المشكوك فيها موضوعاً و محمولًا، فإذا تعلّق اليقين بوجود زيد تكون القضيّة المُتيقّنة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أنَّ زيداً موجود في الزمان اللّاحق تستصحب نفس القضيّة المُتيقّنة؛ لوحدة الموضوع و المحمول، و إذا تعلّق اليقين بقيامه يمكن أن يكون الموضوع للأثر هو كون زيد قائماً، فتكون القضيّة المُتيقّنة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الهليّة المُركّبة، فإذا شكّ فيها تستصحب؛ لوحدة الموضوع و المحمول، و يمكن أن يكون الموضوع للأثر كون قيامه موجوداً على نعت الكون المحموليّ، فتكون القضيّة المُتيقّنة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قيامه كان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فيها تستصحب</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614107_3804643083"/>
      <w:bookmarkStart w:id="313" w:name="_Toc114"/>
      <w:bookmarkEnd w:id="312"/>
      <w:r>
        <w:rPr>
          <w:rtl w:val="true"/>
        </w:rPr>
        <w:t>الإشكال على الشيخ الأعظم في مسألة بقاء الموضوع</w:t>
      </w:r>
      <w:bookmarkEnd w:id="313"/>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هو نفس القضيّة لا موضوعها أو محمولها، و اتضح النظر في ظاهر كلام الشيخ الأعظم قدس سره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أفاده من أنَّ المُستصحب هو عارض الموضوع و الموضوع معروضه، و لا بدّ من إحراز بقائه </w:t>
      </w:r>
      <w:r>
        <w:rPr>
          <w:rStyle w:val="FootnoteAnchor"/>
          <w:rtl w:val="true"/>
        </w:rPr>
        <w:footnoteReference w:id="397"/>
      </w:r>
      <w:r>
        <w:rPr>
          <w:rFonts w:ascii="Amiri" w:hAnsi="Amiri" w:eastAsia="Amiri" w:cs="Amiri"/>
          <w:color w:val="111111"/>
          <w:sz w:val="28"/>
          <w:sz w:val="28"/>
          <w:szCs w:val="28"/>
          <w:rtl w:val="true"/>
          <w:lang w:bidi="ar-SA"/>
        </w:rPr>
        <w:t xml:space="preserve">، فيه مسامحة ظاهرة؛ لأنَّ المُستصحب هو مُتعلّق اليقين، و ليس ذلك إلّا مفاد القضيّة، لا محمولها الذي هو عارض، فإذا تعلّق اليقين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المُستصحب قيام زيد؛ لأنَّ قيام زيد في تلك القضيّة ليس</w:t>
      </w:r>
    </w:p>
    <w:p>
      <w:pPr>
        <w:pStyle w:val="BookText"/>
        <w:rPr/>
      </w:pPr>
      <w:r>
        <w:rPr>
          <w:rFonts w:ascii="Amiri" w:hAnsi="Amiri" w:eastAsia="Amiri" w:cs="Amiri"/>
          <w:color w:val="111111"/>
          <w:sz w:val="28"/>
          <w:sz w:val="28"/>
          <w:szCs w:val="28"/>
          <w:rtl w:val="true"/>
          <w:lang w:bidi="ar-SA"/>
        </w:rPr>
        <w:t xml:space="preserve">مُتعلّق اليقين، فإنَّ قيام زيد الذي هو عارض له أمر تصوّري غير مُتعلّق لليقين، فما هو المُتعلّق لليقين هو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الكون الرابط و الهليّة المُركّبة، ففي مثل صحّة الائتمام و شهادة الطلاق يكون موضوع الأثر كون الإمام أو الشاهد عادلًا على نحو الوجود الرابط و الهليّة المُركّبة لا عدالتهما،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لا تنقض اليقين المُتعلّق بقضيّة بالشكّ فيها، فالمُستصحب نفس القضيّة لا المحمول العارض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إحراز بقاء الموضوع في الاستصحاب ليس لازماً، بل ليس ممكناً في بعض القضايا؛ فإنَّ معنى إحراز بقاء الشي‌ء أنَّ العلم تعلّق بأنَّ هذا الشي‌ء باق؛ لما ذكرنا من أنَّ العلم إنّما يتعلّق بمفاد القضيّة لا بالمعاني التصوّرية، ففي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زيد محقّق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اريد استصحابه في زمان الشكّ في وجوده لا يمكن إحراز بقاء موضوعه في زمان الشكّ؛ لأنَّ معناه أنَّ زيداً باقٍ في حال الشكّ يقيناً و هو كما ترى</w:t>
      </w:r>
    </w:p>
    <w:p>
      <w:pPr>
        <w:pStyle w:val="BookText"/>
        <w:rPr/>
      </w:pP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المُحرز هو بقاؤه في التقرّر الذهنيّ </w:t>
      </w:r>
      <w:r>
        <w:rPr>
          <w:rStyle w:val="FootnoteAnchor"/>
          <w:rtl w:val="true"/>
        </w:rPr>
        <w:footnoteReference w:id="398"/>
      </w:r>
      <w:r>
        <w:rPr>
          <w:rFonts w:ascii="Amiri" w:hAnsi="Amiri" w:eastAsia="Amiri" w:cs="Amiri"/>
          <w:color w:val="111111"/>
          <w:sz w:val="28"/>
          <w:sz w:val="28"/>
          <w:szCs w:val="28"/>
          <w:rtl w:val="true"/>
          <w:lang w:bidi="ar-SA"/>
        </w:rPr>
        <w:t>لأنَّ الموضوع ليس زيداً المُقرّر في الذهن؛ لأنَّه لا يمكن أن يوجد في الخارج، فالموضوع في مثل تلك القضايا هو نفس زيد عارياً عن لحاظ شي‌ء معه، و غير مُتقيّد بالتقرّر الخارجيّ أو الذهنيّ، و هو لا يتّصف بالبقاء و المُحرزيّة إلّا بتبع الوجود الذهنيّ أو الخارجيّ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رحمه اللَّه في المُستصحب و الموضوع و بقائه تبعيد للمسافة، و إخلال بما هو شرط في الاستصحاب؛ إذ ليس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 من حقيقة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بقاء الموضوع، و لا نحتاج إليه فيه، بل الشرط وحدة القضيّة المُتيقّنة و المشكوك فيها، فلا فرق فيه بين بسائط القضايا و مُركّباتها، فلا ملزم لاشتراطه بشرط</w:t>
      </w:r>
      <w:bookmarkStart w:id="314" w:name="pg2245_12905"/>
    </w:p>
    <w:p>
      <w:pPr>
        <w:pStyle w:val="BookText"/>
        <w:rPr/>
      </w:pPr>
      <w:bookmarkEnd w:id="314"/>
      <w:r>
        <w:rPr>
          <w:rFonts w:ascii="Amiri" w:hAnsi="Amiri" w:eastAsia="Amiri" w:cs="Amiri"/>
          <w:color w:val="111111"/>
          <w:sz w:val="28"/>
          <w:sz w:val="28"/>
          <w:szCs w:val="28"/>
          <w:rtl w:val="true"/>
          <w:lang w:bidi="ar-SA"/>
        </w:rPr>
        <w:t>غير لازم، بل مخلّ حتّى نقع في حيص بيص في مثل القضايا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الدليل على الشرط المُتقدّم؛ و وحدة القضيّة المتيقّنة و المشكوك فيها؛ لأنَّ صدق نقض اليقين بالشكّ يتوقّف عليها</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614109_3804643083"/>
      <w:bookmarkStart w:id="316" w:name="_Toc115"/>
      <w:bookmarkEnd w:id="315"/>
      <w:r>
        <w:rPr>
          <w:rtl w:val="true"/>
        </w:rPr>
        <w:t>تمسّك الشيخ الأعظم بالدليل العقليّ لمدّعاه و ما فيه</w:t>
      </w:r>
      <w:bookmarkEnd w:id="316"/>
    </w:p>
    <w:p>
      <w:pPr>
        <w:pStyle w:val="BookText"/>
        <w:rPr/>
      </w:pPr>
      <w:r>
        <w:rPr>
          <w:rFonts w:ascii="Amiri" w:hAnsi="Amiri" w:eastAsia="Amiri" w:cs="Amiri"/>
          <w:color w:val="111111"/>
          <w:sz w:val="28"/>
          <w:sz w:val="28"/>
          <w:szCs w:val="28"/>
          <w:rtl w:val="true"/>
          <w:lang w:bidi="ar-SA"/>
        </w:rPr>
        <w:t>و أمّا 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على ما ادّعاه بالدليل العقليّ، و هو أنَّه مع عدم العلم بتحقّق الموضوع لاحقاً إذا اريد إبقاء المُستصحب العارض له المُتقوّم به، فإمّا أن يبقى من غير محلّ و موضوع، و هو محال، و إمّا أن ينتقل إلى موضوع آخر و هو أيضاً محال؛ لاستحالة انتقال العرض، و إمّا أن يحدث مثله في موضوع آخر، و هذا ليس إبقاءً، فيخرج عن الاستصحاب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المُستصحب ليس العرض القائم بالموضوع، بل هو القضيّة المُتيقّنة، فإذا كان الأثر مُترتّباً على القضيّة التي مفادها الهليّة المُركّبة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زيد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المتيقّن المُترتّب عليه الأثر عدالة زيد بنحو الهليّة البسيطة و الوجود المحموليّ، و إن كانت عدالة زيد بنحو الهليّة البسيطة أيضاً مُتيقّنة و مشكوكاً فيها، لكنّ استصحابها لا يثبت كون زيد عادلًا بنحو كان الناقصة إلّا بالأصل المُثبت، فإذا كان الأثر مُترتّباً على عدالة زيد بنحو الكون الرابط تكون القضيّة المُستصحبة المُترتّب عليها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زيداً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زيد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استصحاب القضيّة الثانية 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زيداً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المُثبت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فرض جواز قيام العرض بذاته، و جواز انتقال العرض، و قامت العدالة في</w:t>
      </w:r>
    </w:p>
    <w:p>
      <w:pPr>
        <w:pStyle w:val="BookText"/>
        <w:rPr/>
      </w:pPr>
      <w:r>
        <w:rPr>
          <w:rFonts w:ascii="Amiri" w:hAnsi="Amiri" w:eastAsia="Amiri" w:cs="Amiri"/>
          <w:color w:val="111111"/>
          <w:sz w:val="28"/>
          <w:sz w:val="28"/>
          <w:szCs w:val="28"/>
          <w:rtl w:val="true"/>
          <w:lang w:bidi="ar-SA"/>
        </w:rPr>
        <w:t xml:space="preserve">زمان الشكّ بذاتها، أو انتقلت إلى موضوع آخر لا يوجب ذلك جواز ترتيب أثر عدالة زيد؛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زيداً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الكون الرابط؛ ضرورة أنَّ الأثر المُترتّب على كون زيد عادلًا لا يترتّب على العدالة القائمة بالذات، أو القائمة بوجود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جواز قيام العرض بلا موضوع، و جواز انتقال العرض، و كانت نفس العدالة بوجودها المحموليّ موضوعاً للأثر يكون منشأ الشكّ في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على الشكّ في زوالها بالشكّ في سلب الموضوع أو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انتقالها أو بقائها بذاتها مع القطع بعدم موضوعها، و هذا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الشيخ من 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وقعه في المقام الذي كان نظر العرف مُتّبعاً، و محطّ التعبّد الشرعيّ الذي يرجع إلى لزوم ترتيب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منشأ هذا الخلط إنّما هو الخلط في المُستصحب، و الذهاب إلى أنَّ المُستصحب نفس العرض القائم بالموضوع، و موضوعه هو معروضه، مع أنَّ المُستصحب على ما عرفت هو نفس القضيّة من غير فرق بين الهليّات البسيطة و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بالتدبّر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المقام مُنقّحاً، و ينحلّ الإشكال من أساسه في الهليّات البسيطة، و يتّضح لزوم وحدة القضية المُتيقّنة و المشكوك فيها من غير احتياج إلى التشبّث بالدليل العقليّ، حتّى يرد عليه ما أورده المُحقّق الخراسانيّ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الاستصحاب عبارة عن وجوب ترتيب آثار العرض لا وجود العرض بلا موضوع، و المحال هو الثاني لا الأوّل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الجواب و إن كان منظوراً فيه؛ لأجل ابتنائه على أنَّ المُستصحب هو العرض، لكنّه متينٌ في ذاته، فلو فرض أنَّ الأثر كان لنفس العدالة أو البياض بوجودهما</w:t>
      </w:r>
      <w:bookmarkStart w:id="317" w:name="pg2245_12909"/>
    </w:p>
    <w:p>
      <w:pPr>
        <w:pStyle w:val="BookText"/>
        <w:rPr/>
      </w:pPr>
      <w:bookmarkEnd w:id="317"/>
      <w:r>
        <w:rPr>
          <w:rFonts w:ascii="Amiri" w:hAnsi="Amiri" w:eastAsia="Amiri" w:cs="Amiri"/>
          <w:color w:val="111111"/>
          <w:sz w:val="28"/>
          <w:sz w:val="28"/>
          <w:szCs w:val="28"/>
          <w:rtl w:val="true"/>
          <w:lang w:bidi="ar-SA"/>
        </w:rPr>
        <w:t>المحموليّ، و كان وجودهما مُتيقّناً لأجل تحقّقهما في موضوعهما، و شكّ في الزمان اللّاحق في بقائهما لأجل الشكّ في بقاء موضوعهما يجري الاستصحاب، و يترتّب عليهما آثار بقائهما في زمان الشكّ، و موضوع العدالة و البياض تكويناً غير موضوع القضيّة المُستصحبة، فإنَّ موضوع الثانية نفس العدالة و البياض، كما هو ظاهر بعد التدبّر فيما أسلفناه، بل للشارع أن يحكم بوجود العرض، و عدم المعروض في عام التشريع و التعبّد؛ لأنَّ معناه إيجاب ترتيب آثار وجود هذا و عدم ذاك و هو بلا محذور</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614111_3804643083"/>
      <w:bookmarkStart w:id="319" w:name="_Toc116"/>
      <w:bookmarkEnd w:id="318"/>
      <w:r>
        <w:rPr>
          <w:rtl w:val="true"/>
        </w:rPr>
        <w:t>توجيه شيخنا العلّامة كلام الشيخ و ما يرد عليه</w:t>
      </w:r>
      <w:bookmarkEnd w:id="319"/>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تصدّى شيخنا العلّامة أعلى اللَّه مقامه لدفع الإشكال عن الشيخ الأعظم فقال 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القضايا الصادرة من المُتكلّم إنشاءً كانت أو إخباراً مُشتملة على نسب ربطيّة مُتقوّمة بالموضوعات الخاصّة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على إرادة إيقاعيّة مُرتبطة بإكرام زيد،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نسبة تصديقيّة قائمة بالموضوع و المحمول الخاصّ، و حال هذه النسب في الذهن حال الأعراض الخارجيّة في الاحتياج إلى المحلّ، و امتناع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أنَّ المُتيقّن هو وجوب الصلاة، فالجاعل للحكم في الزمان الثاني إمّا أن يجعل الوجوب للصلاة، و هو المطلوب من لزوم اتحاد الموضوع، و إمّا أن ينشئ هذه الإرادة الربطيّة من غير موضوع و هو محال، و إمّا أن يُنشئها لغير الصلاة و هو محال؛ لامتناع انتقالها، و إمّا أن ينشئ إرادة جديدة، و هذا ممكن لكن ليس إبقاء لما سبق</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الحال في الشبهة الموضوعيّة، فإنَّ المُتيقّن إذا كان خمريّة مائع فإمّا أن ينشئ النسبة التصديقيّة بلا محلّ، أو في محلّ غير المائع و هما محالان، أو ينشئ إرادة جديدة</w:t>
      </w:r>
    </w:p>
    <w:p>
      <w:pPr>
        <w:pStyle w:val="BookText"/>
        <w:rPr/>
      </w:pPr>
      <w:r>
        <w:rPr>
          <w:rFonts w:ascii="Amiri" w:hAnsi="Amiri" w:eastAsia="Amiri" w:cs="Amiri"/>
          <w:color w:val="111111"/>
          <w:sz w:val="28"/>
          <w:sz w:val="28"/>
          <w:szCs w:val="28"/>
          <w:rtl w:val="true"/>
          <w:lang w:bidi="ar-SA"/>
        </w:rPr>
        <w:t xml:space="preserve">فليس بإبقاء، أو ينشئ في نفس المائع و هو المطلوب </w:t>
      </w:r>
      <w:r>
        <w:rPr>
          <w:rStyle w:val="FootnoteAnchor"/>
          <w:rtl w:val="true"/>
        </w:rPr>
        <w:footnoteReference w:id="40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 مخالفاً لظاهر كلام الشيخ أو 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عبارة عن حكم ظاهريّ مجعول بقوله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لترتيب آثار المُتيقّن في زمان الشكّ، فقد يوافق الواقع فيكون منجّزاً له، و قد يتخلّف عنه، فإذا وافقه فلا تكون في البين إلّا إرادة حتميّة مُتعلّقة بالصلاة و ليس في زمان الشكّ إرادة اخرى مُتعلّقة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هاهنا إرادة اخرى مُتعلّقة بعنوان عدم نقض اليقين بالشكّ، و إذا تخلّف الاستصحاب عن الواقع فليست إرادة مُتعلّقة بالصلاة بحسب الواقع، فلا مجال لهذه التشقيقات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التي علم وجوبها سابقاً، و شكّ في بقائه إن كانت واجبة بحسب الواقع في زمان الشكّ فلا يمكن أن تتعلّق بها إرادة اخرى غير الإرادة المُتعلّقة بها، و إن لم تكن واجبة فإما أن تنتقل الإرادة المُتعلّقة بها في زمان اليقين إلى زمان الشكّ فهو محال، و إمّا أن يحدث فيها إرادة اخرى فهو ليس بإبقاء، و إمّا أن تبقى الإرادة بلا موضوع فهو مع كونه محالًا ليس بابقاء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الواقعيّة المُتعلّقة بالموضوعات الواقعيّة لا تتخلّف عنها، و الاستصحاب لا يوجب بقاء تلك الإرادات،؛ فإنَّها إن كانت باقية لا يوجب الاستصحاب إلّا تنجيزها في زمان الشكّ، كما كانت منجّزة في زمان اليقين لأجل تعلّق اليقين بها، و إلّا فلا يمكن بقاؤها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 أنَّ الجاعل في الزمان الثاني لا يجعل الوجوب للصلاة، فإنَّ الصلاة إمّا واجبة في زمان الشكّ بحسب الواقع، فلا معنى لجعله ثانياً، فيكون</w:t>
      </w:r>
      <w:bookmarkStart w:id="320" w:name="pg2245_12913"/>
    </w:p>
    <w:p>
      <w:pPr>
        <w:pStyle w:val="BookText"/>
        <w:rPr/>
      </w:pPr>
      <w:bookmarkEnd w:id="320"/>
      <w:r>
        <w:rPr>
          <w:rFonts w:ascii="Amiri" w:hAnsi="Amiri" w:eastAsia="Amiri" w:cs="Amiri"/>
          <w:color w:val="111111"/>
          <w:sz w:val="28"/>
          <w:sz w:val="28"/>
          <w:szCs w:val="28"/>
          <w:rtl w:val="true"/>
          <w:lang w:bidi="ar-SA"/>
        </w:rPr>
        <w:t>الاستصحاب كسائر المُنجّزات مُنجّزاً له؛ بمعنى أنَّ المُكلّف إذا تركها مع الاستصحاب تصحّ عقوبته على ترك الوجوب الواقعيّ، و إن لم تكن واجبة فلا تصير واجبة بالاستصحاب، و لو فرض صيرورتها واجبة بالاستصحاب ليس الوجوب الاستصحابيّ إبقاء للوجوب المُتعلّق بها في الزمن السابق بالضرورة</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614113_3804643083"/>
      <w:bookmarkStart w:id="322" w:name="_Toc117"/>
      <w:bookmarkEnd w:id="321"/>
      <w:r>
        <w:rPr>
          <w:rtl w:val="true"/>
        </w:rPr>
        <w:t>إنَّ الاستصحاب لا يجدي في إحراز موضوع القضيّة المُستصحبة</w:t>
      </w:r>
      <w:bookmarkEnd w:id="322"/>
    </w:p>
    <w:p>
      <w:pPr>
        <w:pStyle w:val="BookText"/>
        <w:rPr/>
      </w:pPr>
      <w:r>
        <w:rPr>
          <w:rFonts w:ascii="Amiri" w:hAnsi="Amiri" w:eastAsia="Amiri" w:cs="Amiri"/>
          <w:color w:val="111111"/>
          <w:sz w:val="28"/>
          <w:sz w:val="28"/>
          <w:szCs w:val="28"/>
          <w:rtl w:val="true"/>
          <w:lang w:bidi="ar-SA"/>
        </w:rPr>
        <w:t xml:space="preserve">ثمَّ إنَّه بعد ما علم لزوم اتحاد القضيّة المُتيقّنة و المشكوك فيها موضوعاً و محمولًا فلا بدّ من إحرازه وجداناً، كما في الهليّات البسيطة، فإذا كان زيد مسبوقاً بالوجود أو العدم فشكّ فيه يستصحب وجوده أو عدمه لإحراز الاتحاد وجداناً، و كالهليّات المُركّبة التي كانت موضوعاتها عرفاً نفس الماهية و يكون الوجود أو الحياة مثلًا فيها من الوسائط التعليليّة لعروض العوارض عليها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قبيل القضايا الحينيّة،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تكون العادليّة و العالميّة من أوصاف زيد عرفاً، و يكون الموضوع للقضيّة نفس زيد في حال الحياة و الوجود، فإذا علمنا أنَّ زيداً كان عالماً أو عادلًا أو قائماً، و شككنا في بقائها يجري الاستصحاب؛ لوحدة القضيّة المُتيقّنة و المشكوك فيها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أنَّ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محرزاً</w:t>
      </w:r>
      <w:r>
        <w:rPr>
          <w:rStyle w:val="FootnoteAnchor"/>
          <w:rtl w:val="true"/>
        </w:rPr>
        <w:footnoteReference w:id="402"/>
      </w:r>
      <w:r>
        <w:rPr>
          <w:rFonts w:ascii="Amiri" w:hAnsi="Amiri" w:eastAsia="Amiri" w:cs="Amiri"/>
          <w:color w:val="111111"/>
          <w:sz w:val="28"/>
          <w:sz w:val="28"/>
          <w:szCs w:val="28"/>
          <w:rtl w:val="true"/>
          <w:lang w:bidi="ar-SA"/>
        </w:rPr>
        <w:t>، مردود بأنَّ الموضوع لدى العرف في مثل تلك القضايا لا يكون إلّا ماهيّة زيد و الحياة و الوجود من الجهات التعليليّة، أو اخذا على نحو القضيّة الحينيّة لدى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في الهليّات المُركّبة أخذ بعض الأوصاف في موضوعها قيداً، و تكون القضيّة وصفيّة مأخوذة فيها الأوصاف على نحو العنوانيّة و القيديّة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زيد الحيّ بما أنَّه حيّ عادلًا 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زيد العادل بما أنَّه عادل أعلم يجوز أو يجب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تلك الأوصاف المأخوذة في الموضوع محرزة بالوجدان فلا إشكال في جريان الاستصحاب، فإذا احرزت حياة زيد وجداناً، و شكّ في كونه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اليقين بعدالته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جريانه،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الحيّ عادلًا، و شككت في بقاء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تكون تلك الأوصاف مشكوكاً فيها، كما لو شككنا في المثال في حياة زيد و عدالته، ففي هذه الصورة هل يمكن إحراز موضوع القضيّة الوصفيّة بالاستصحاب أو لا؟ فموضوع البحث و محلّ النقض و الإبرام ما إذا كانت قضيّتان متيقّنتان يكون محمول إحداهما موضوعاً للُاخرى، فتستصحب القضيّة الاولى لإحراز موضوع القضيّة الاخرى لتستصحب القضيّة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اخرى محلّ الكلام فيما كانت وحدة القضيّة المُتيقّنة و المشكوك فيها غير محرزة، و أردنا إحرازها باستصحاب قضيّة اخرى يكون محمولها موضوعاً لتلك القضيّة، كما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زيداً العالم بما أنَّه عالم إذا كان عادلًا 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فشككنا في علمه و في عدالته، فأردنا إحراز علمه بالاستصحاب لإحراز موضوع القضيّة الثانية أي كونه عادلًا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الشكّ في القضيّة الثانية مُسبّباً عن الشكّ في الاولى، و تارة لا يكون كذلك، و على الأوّل تارة يكون التسبّب شرعيّاً، و تارة يكون عقليّاً، ففي جميع الفروض لا يمكن إحراز موضوع القضيّة المُستصحبة بإجراء استصحاب القضيّة الاولى إذا فرض أنَّ الوصف اخذ في موضوع القضيّة الثانية مفروض الوجود، كما هو محلّ</w:t>
      </w:r>
      <w:bookmarkStart w:id="323" w:name="pg2245_12918"/>
    </w:p>
    <w:p>
      <w:pPr>
        <w:pStyle w:val="BookText"/>
        <w:rPr/>
      </w:pPr>
      <w:bookmarkEnd w:id="323"/>
      <w:r>
        <w:rPr>
          <w:rFonts w:ascii="Amiri" w:hAnsi="Amiri" w:eastAsia="Amiri" w:cs="Amiri"/>
          <w:color w:val="111111"/>
          <w:sz w:val="28"/>
          <w:sz w:val="28"/>
          <w:szCs w:val="28"/>
          <w:rtl w:val="true"/>
          <w:lang w:bidi="ar-SA"/>
        </w:rPr>
        <w:t>الكلام؛ لأنَّ الاستصحاب لا يحرز الموضوع وجداناً، و لا تكون وحدة القضيّتين من الآثار الشرعيّة حتّى تترتّب عليه، فاستصحاب كون زيد حيّاً لا تترتّب عليه إلّا الآثار الشرعيّة المُترتّبة على كونه حيّاً، كنفقة زوجته، و أمّا صيرورة الشكّ في عدالة زيد شكّاً في أنَّ زيداً الحيّ عادل حتّى تتّحد القضيّة المُتيقّنة و المشكوك فيها، فليست أثراً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شككنا في تغيّر الماء، فلا يحرز استصحاب بقاء التغيّر موضوع استصحاب نجاسة المُتغيّر بما أنَّه مُتغيّر، و لو فرض أنَّ المُتغيّر بما أنَّه مُتغيّر موضوع للنجاسة، و يكون التسبّب شرعيّاً لأنَّ إحراز وحدة القضيّتين ليس من الآثار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التغيّر يترتّب على الماء أثره الشرعيّ أي النجاسة و هو غير استصحاب نجاسة المُتغيّر الذي كلامنا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إحراز وحدة القضيّتين ممّا لا يمكن بالاستصحاب مُطلقاً و لو في الآثار الشرعيّة و التسبّبات التعبّدية</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614115_3804643083"/>
      <w:bookmarkStart w:id="325" w:name="_Toc118"/>
      <w:bookmarkEnd w:id="324"/>
      <w:r>
        <w:rPr>
          <w:rtl w:val="true"/>
        </w:rPr>
        <w:t>الخلط الواقع في كلام بعض الأعاظم</w:t>
      </w:r>
      <w:bookmarkEnd w:id="32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قد عرفت محلّ الكلام في المقام يتَّضح لك الخلط الواقع في كلام بعض أعاظم العصر رحمه اللَّه؛ حيث تفصّى عن الإشكال بأنَّ الموضوع لجواز التقليد مُركّب من الحياة و العدالة، و هما عرضان لمحلّ واحد، فيجوز إحرازهما بالاستصحابين كما يجوز إحراز أحد جزئي الموضوع المُركّب بالاستصحاب، و الآخر بالوجدان، فإذا كان زيد العالم الحيّ موضوعاً لجواز التقليد، و شككنا في الوصفين فنستصحب كلا الوصفين للموضوع الذي هو زيد، و نرتّب الأثر على الموضوع المُحرز كلا جزأيه بالأصل </w:t>
      </w:r>
      <w:r>
        <w:rPr>
          <w:rStyle w:val="FootnoteAnchor"/>
          <w:rtl w:val="true"/>
        </w:rPr>
        <w:footnoteReference w:id="403"/>
      </w:r>
      <w:r>
        <w:rPr>
          <w:rFonts w:ascii="IRNazanin" w:hAnsi="IRNazanin" w:eastAsia="IRNazanin"/>
          <w:color w:val="111111"/>
          <w:sz w:val="28"/>
          <w:sz w:val="28"/>
          <w:szCs w:val="28"/>
          <w:rtl w:val="true"/>
          <w:lang w:bidi="fa-IR"/>
        </w:rPr>
        <w:t>انتهى</w:t>
      </w:r>
      <w:bookmarkStart w:id="326" w:name="pg2245_12920"/>
    </w:p>
    <w:p>
      <w:pPr>
        <w:pStyle w:val="BookText"/>
        <w:rPr/>
      </w:pPr>
      <w:bookmarkEnd w:id="326"/>
      <w:r>
        <w:rPr>
          <w:rFonts w:ascii="Amiri" w:hAnsi="Amiri" w:eastAsia="Amiri" w:cs="Amiri"/>
          <w:color w:val="111111"/>
          <w:sz w:val="28"/>
          <w:sz w:val="28"/>
          <w:szCs w:val="28"/>
          <w:rtl w:val="true"/>
          <w:lang w:bidi="ar-SA"/>
        </w:rPr>
        <w:t>و هذا كما ترى خروج عن محلّ البحث؛ لأنَّ الكلام ليس في أنَّ الأوصاف المُتعدّدة لموضوع واحدٍ إذا كانت موضوعة لحكم شرعيّ هل يمكن إثباتها بالأصل أم لا؟ بل الكلام في أنَّه هل يمكن إثبات موضوع القضيّة المُستصحبة و وحدة القضيّة المُتيقّنة و المشكوك فيها بالأصل أم لا؟ لأنَّ الشيخ الأعظم و بعد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في الاستصحاب هو العلم ببقاء الموضوع و لا يكفي احتمال البقاء</w:t>
      </w:r>
      <w:r>
        <w:rPr>
          <w:rStyle w:val="FootnoteAnchor"/>
          <w:rtl w:val="true"/>
        </w:rPr>
        <w:footnoteReference w:id="404"/>
      </w:r>
      <w:r>
        <w:rPr>
          <w:rFonts w:ascii="Amiri" w:hAnsi="Amiri" w:eastAsia="Amiri" w:cs="Amiri"/>
          <w:color w:val="111111"/>
          <w:sz w:val="28"/>
          <w:sz w:val="28"/>
          <w:szCs w:val="28"/>
          <w:rtl w:val="true"/>
          <w:lang w:bidi="ar-SA"/>
        </w:rPr>
        <w:t xml:space="preserve">أشكل عليه إحرازه بالاستصحاب إذا كان محتمل البقاء، ففصّل في الجواب بما فصّل </w:t>
      </w:r>
      <w:r>
        <w:rPr>
          <w:rStyle w:val="FootnoteAnchor"/>
          <w:rtl w:val="true"/>
        </w:rPr>
        <w:footnoteReference w:id="405"/>
      </w:r>
      <w:r>
        <w:rPr>
          <w:rFonts w:ascii="Amiri" w:hAnsi="Amiri" w:eastAsia="Amiri" w:cs="Amiri"/>
          <w:color w:val="111111"/>
          <w:sz w:val="28"/>
          <w:sz w:val="28"/>
          <w:szCs w:val="28"/>
          <w:rtl w:val="true"/>
          <w:lang w:bidi="ar-SA"/>
        </w:rPr>
        <w:t>، فموضوع البحث ما إذا كان عنوانٌ موضوعاً للقضيّة المُستصحبة، و شكّ فيه، و اريد إثباته بالاستصحاب، فما أفاده المُحقّق المعاصر خارج عن موضوع البحث، كما أنَّ كلام الشيخ أيضاً لا يخلو من خلط فراجع و تدبّر</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614117_3804643083"/>
      <w:bookmarkStart w:id="328" w:name="_Toc119"/>
      <w:bookmarkEnd w:id="327"/>
      <w:r>
        <w:rPr>
          <w:rtl w:val="true"/>
        </w:rPr>
        <w:t>هل يؤخذ الموضوع من العرف أولا؟</w:t>
      </w:r>
      <w:bookmarkEnd w:id="328"/>
    </w:p>
    <w:p>
      <w:pPr>
        <w:pStyle w:val="BookText"/>
        <w:rPr/>
      </w:pPr>
      <w:r>
        <w:rPr>
          <w:rFonts w:ascii="Amiri" w:hAnsi="Amiri" w:eastAsia="Amiri" w:cs="Amiri"/>
          <w:color w:val="111111"/>
          <w:sz w:val="28"/>
          <w:sz w:val="28"/>
          <w:szCs w:val="28"/>
          <w:rtl w:val="true"/>
          <w:lang w:bidi="ar-SA"/>
        </w:rPr>
        <w:t>ثمّ بعد ما علم لزوم وحدة القضيّة المُتيقّنة و المشكوك فيها، فهل الموضوع فيها يؤخذ من العقل، أو من الدليل، أو من العرف؟</w:t>
      </w:r>
    </w:p>
    <w:p>
      <w:pPr>
        <w:pStyle w:val="BookText"/>
        <w:rPr/>
      </w:pPr>
      <w:r>
        <w:rPr>
          <w:rFonts w:ascii="Amiri" w:hAnsi="Amiri" w:eastAsia="Amiri" w:cs="Amiri"/>
          <w:color w:val="111111"/>
          <w:sz w:val="28"/>
          <w:sz w:val="28"/>
          <w:szCs w:val="28"/>
          <w:rtl w:val="true"/>
          <w:lang w:bidi="ar-SA"/>
        </w:rPr>
        <w:t>و بعبارة اخرى أنَّ الميزان في وحدة القضيّة المُتيقّنة و المشكوك فيها أن يكون موضوعهما واحداً بحكم العقل و تشخيصه، أو بحكم العرف و تشخيصه، أو أنَّ الموضوع في القضيّة المشكوك فيها لا بدّ و أن يكون هو الذي اخذ في الدليل الدالّ على الحكم في القضيّة المتيقّنة؟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الأخذ من العقل و غيره واضح؛ لأنَّ العقل قلّما يتّفق أو لا يتّفق أن</w:t>
      </w:r>
    </w:p>
    <w:p>
      <w:pPr>
        <w:pStyle w:val="BookText"/>
        <w:rPr/>
      </w:pPr>
      <w:r>
        <w:rPr>
          <w:rFonts w:ascii="Amiri" w:hAnsi="Amiri" w:eastAsia="Amiri" w:cs="Amiri"/>
          <w:color w:val="111111"/>
          <w:sz w:val="28"/>
          <w:sz w:val="28"/>
          <w:szCs w:val="28"/>
          <w:rtl w:val="true"/>
          <w:lang w:bidi="ar-SA"/>
        </w:rPr>
        <w:t>لا يشكّ في بقاء الموضوع في استصحاب الأحكام، حتّى في باب النسخ؛ لأنَّ الشكّ في الحكم لا يكون إلّا من جهة الشكّ في تغيير خصوصيّة من خصوصيّات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الجهات التعليليّة ترجع إلى الجهات التقييديّة لدى العقل، و تكون دخيلة في موضوعيّة الموضوع، فإذا ورد حكم على موضوع لا يكون تعلّقه عليه جُزافاً بحكم العقل، فلا بدّ من خصوصيّة في الموضوع لأجلها يكون مُتعلّقاً للحكم، و مع بقاء تلك الخصوصيّة الموجبة أو الدخيلة في المُتعلّق مع سائر الخصوصيّات لا يمكن رفع الحكم عن الموضوع، فإذا علم تعلّق حكم على موضوع، و شكّ في نسخه فلا يمكن أن يشكّ فيه مع العلم ببقاء جميع خصوصيّات الموضوع الدخيلة في تعلّق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القيود الزمانيّة و المكانيّة و غيرها؛ لأنَّ ذلك يرجع إلى الجزاف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يقع الإشكال في الاستصحابات الموضوعيّة أيضاً، كاستصحاب الكرّية</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الفرق بين الأخذ من العرف أو موضوع الدليل، فهو أنَّ الحكم في الدليل قد يثبت العنوان أو الموضوع المتقيّد بقيد؛ بحيث يكون الدليل قاصراً عن إثبات الحكم لغير العنوان أو غير مورد التقيد، فإذا ارتفع العنوان أو القيد يرتفع موضوع الدليل، كما إذا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عصير العنب إذا غلى يحرم</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فانطبق الحكم على الموضوع الخارجيّ، فيشار إلى تراب خارجيّ، أنَّه أحد الطهورين، و إلى رِطل من العنب أنَّ عصيره إذا غلى يحرم، فإذا صار التراب الخارجيّ آجراً أو خزفاً، و العنب زبيباً، و شككنا في طهوريّة الأوّل و حرمة عصير الثاني إذا غلى، فلا إشكال في قصور الأدلّة الواقعيّة عن شمول غير العناوين المأخوذة في موضوعها؛ لتغيّر موضوعها، فلا يمكن</w:t>
      </w:r>
    </w:p>
    <w:p>
      <w:pPr>
        <w:pStyle w:val="BookText"/>
        <w:rPr/>
      </w:pPr>
      <w:r>
        <w:rPr>
          <w:rFonts w:ascii="Amiri" w:hAnsi="Amiri" w:eastAsia="Amiri" w:cs="Amiri"/>
          <w:color w:val="111111"/>
          <w:sz w:val="28"/>
          <w:sz w:val="28"/>
          <w:szCs w:val="28"/>
          <w:rtl w:val="true"/>
          <w:lang w:bidi="ar-SA"/>
        </w:rPr>
        <w:t>التمسّك بدليل طهوريّة التراب، و حرمة مغليّ عصير العنب لإثبات الحكم لهما، و لو بنينا على أخذ موضوع القضيّة المُتيقَّنة و المشكوك فيها من الدليل لا يجري الاستصحاب أيضاً لتغيّر الموضوع، و عدم اتحاد القضيّة المُتيقّنة و المشكوك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الاتحاد بنظر العرف، فجريانه ممّا لا مانع منه؛ لأنَّ هذا الآجر و الخزف الخارجيّين كانا معلومي الحكم قبل طبخهما، و بواسطة طبخهما لم يتغيّرا إلّا تغيّراً عَرَضياً، و كذا العنب الخارجيّ إذا يبس و صار زبيباً يكون عين الموضوع المُتيقّن، و ليست اليبوسة مُغيّرة له إلّا في حاله و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التغيّرات العَرَضيّة لا تنافي وحدة الموضوع الخارجيّ، و إن لم تصدق معها على الموضوع العناوينُ الكلّيةُ، فالتراب غير الآجر بحسب العنوان الكلّي المأخوذ في الدليل، و العنب غير الزبيب كذلك، لكنّ التراب و العنب الخارجيّين إذا طبخا و يبسا لا يتغيّران إلّا في الحالات الغير المُضرّة ببقاء موضوع القضيّة المتيقّنة في زمان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احتملنا كون العنوانين واسطة في الثبوت، و من كان عالماً و شاعراً في زمان يجب إكرامه مُطلقاً، فلا إشكال في أنَّ الدليل قاصر عن إيجاب الإكرام إذا صار العالم جاهلًا، و الشاعر غير شاعر، كما أنَّه لا إشكال في أنَّ موضوع الدليل غير باقٍ، فلا مجال لجريان الاستصحاب فيما إذا اخذ موضوع القضيّة المُستصحبة من الدليل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لدى العرف فيكون زيد و عمرو واجبي الإكرام؛ لكون الأوّل مصداق العالم؛ و الثاني مصداق الشاعر، 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كانا مُختلفي المصاديق مع العنوان المقابل لهما، و لكنّهما من الحالات العارضة للأفراد الخارجيّة، و الموضوعات المُتحقّقة، فإذا زال عنوان العالميّة من زيد، و الشاعريّة من عمرو، و شكّ في إكرامهما؛ للشكّ في أنَّ العنوانين من الوسائط الثبوتيّة أو العروضيّة يجري الاستصحاب فيهما؛</w:t>
      </w:r>
      <w:bookmarkStart w:id="329" w:name="pg2245_12927"/>
    </w:p>
    <w:p>
      <w:pPr>
        <w:pStyle w:val="BookText"/>
        <w:rPr/>
      </w:pPr>
      <w:bookmarkEnd w:id="329"/>
      <w:r>
        <w:rPr>
          <w:rFonts w:ascii="Amiri" w:hAnsi="Amiri" w:eastAsia="Amiri" w:cs="Amiri"/>
          <w:color w:val="111111"/>
          <w:sz w:val="28"/>
          <w:sz w:val="28"/>
          <w:szCs w:val="28"/>
          <w:rtl w:val="true"/>
          <w:lang w:bidi="ar-SA"/>
        </w:rPr>
        <w:t xml:space="preserve">لوحدة القضيّة المُتيقّنة و المشكوك فيها، لأنّك كنت على يقين من إكرام زيد و عمرو، لكون الأوّل مصداق العالم، و الثاني مصداق الشاعر، و مع زوال العنوانين نشكّ في بقاء وجوب إكرامهما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ينبغي لك أن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لو اخذ موضوع القضيّة من الدليل؛ لعدم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كلمات الشيخ الأعظم قدس سره </w:t>
      </w:r>
      <w:r>
        <w:rPr>
          <w:rStyle w:val="FootnoteAnchor"/>
          <w:rtl w:val="true"/>
        </w:rPr>
        <w:footnoteReference w:id="409"/>
      </w:r>
      <w:r>
        <w:rPr>
          <w:rFonts w:ascii="Amiri" w:hAnsi="Amiri" w:eastAsia="Amiri" w:cs="Amiri"/>
          <w:color w:val="111111"/>
          <w:sz w:val="28"/>
          <w:sz w:val="28"/>
          <w:szCs w:val="28"/>
          <w:rtl w:val="true"/>
          <w:lang w:bidi="ar-SA"/>
        </w:rPr>
        <w:t xml:space="preserve">و من بعده من المُحقّقين </w:t>
      </w:r>
      <w:r>
        <w:rPr>
          <w:rStyle w:val="FootnoteAnchor"/>
          <w:rtl w:val="true"/>
        </w:rPr>
        <w:footnoteReference w:id="410"/>
      </w:r>
      <w:r>
        <w:rPr>
          <w:rFonts w:ascii="Amiri" w:hAnsi="Amiri" w:eastAsia="Amiri" w:cs="Amiri"/>
          <w:color w:val="111111"/>
          <w:sz w:val="28"/>
          <w:sz w:val="28"/>
          <w:szCs w:val="28"/>
          <w:rtl w:val="true"/>
          <w:lang w:bidi="ar-SA"/>
        </w:rPr>
        <w:t>لا تخلو من خلط و خلل، حتّى كلمات شيخنا العلّامة رحمه اللَّه، مع أنَّ ما ذكرناه من إفادات مجلس بحثه</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614119_3804643083"/>
      <w:bookmarkStart w:id="331" w:name="_Toc120"/>
      <w:bookmarkEnd w:id="330"/>
      <w:r>
        <w:rPr>
          <w:rtl w:val="true"/>
        </w:rPr>
        <w:t>كلامُ المحقّق الخراسانيّ و ما يرد عليه</w:t>
      </w:r>
      <w:bookmarkEnd w:id="331"/>
    </w:p>
    <w:p>
      <w:pPr>
        <w:pStyle w:val="BookText"/>
        <w:rPr/>
      </w:pPr>
      <w:r>
        <w:rPr>
          <w:rFonts w:ascii="Amiri" w:hAnsi="Amiri" w:eastAsia="Amiri" w:cs="Amiri"/>
          <w:color w:val="111111"/>
          <w:sz w:val="28"/>
          <w:sz w:val="28"/>
          <w:szCs w:val="28"/>
          <w:rtl w:val="true"/>
          <w:lang w:bidi="ar-SA"/>
        </w:rPr>
        <w:t>فما أفاده المُحقّق الخراسانيّ رحمه اللَّه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موضوع الدليل قد يكون بحسب المُتفاهم العرفيّ عنواناً، و لكنّ أهل العرف يتخيّلون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ارتكازهم و مناسبات الحكم 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أعمّ من ذلك، لكن لا بحيث يصير ذلك الارتكاز و تلك المُناسبة موجبين لصرف الدليل عمّا هو ظاهره المفهوم عرفاً، كما إذا دلّ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العنب إذا غلى يحرم، و فهم العرف منه أنَّ الموضوع هو العنب بحسب الدليل، لكن يتخيّل بحسب ارتكازه تخيّلًا غير صارف للدليل أنَّ الموضوع أعمّ من الزبيب، و أنَّ العنبيّة و الزبيبيّة من حالاته المُتبادلة؛ بحيث لو لم يكن الزبيب محكوماً بما حكم به العنب يكون عنده من ارتفاع الحكم عن موضوعه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فالفرق بين أخذ الموضوع من العُرف و بين أخذه من الدليل بحسب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الدليل هو العنوان حقيقة، و لكنّ العرف تخيّل موضوعاً آخر غير موضوع</w:t>
      </w:r>
    </w:p>
    <w:p>
      <w:pPr>
        <w:pStyle w:val="BookText"/>
        <w:rPr/>
      </w:pPr>
      <w:r>
        <w:rPr>
          <w:rFonts w:ascii="Amiri" w:hAnsi="Amiri" w:eastAsia="Amiri" w:cs="Amiri"/>
          <w:color w:val="111111"/>
          <w:sz w:val="28"/>
          <w:sz w:val="28"/>
          <w:szCs w:val="28"/>
          <w:rtl w:val="true"/>
          <w:lang w:bidi="ar-SA"/>
        </w:rPr>
        <w:t xml:space="preserve">الدليل، بل أعمّ منه، و يكون الموضوع الحقيقيّ غير باقٍ، و الموضوع التخيّلي باقٍ </w:t>
      </w:r>
      <w:r>
        <w:rPr>
          <w:rStyle w:val="FootnoteAnchor"/>
          <w:rtl w:val="true"/>
        </w:rPr>
        <w:footnoteReference w:id="411"/>
      </w:r>
      <w:r>
        <w:rPr>
          <w:rFonts w:ascii="Amiri" w:hAnsi="Amiri" w:eastAsia="Amiri" w:cs="Amiri"/>
          <w:color w:val="111111"/>
          <w:sz w:val="28"/>
          <w:sz w:val="28"/>
          <w:szCs w:val="28"/>
          <w:rtl w:val="true"/>
          <w:lang w:bidi="ar-SA"/>
        </w:rPr>
        <w:t>انتهى محصّله بتوضيح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كما ترى لأنَّ بقاء الموضوع التخيّلي لا يفيد في الاستصحاب، و لا يجوز أن يكون موضوع القضيّة المُتيقّنة ما يتخيّل العرف خلاف ما يدلّ عليه الدليل، فإذا دلّ الدليل على أنَّ العنب بخصوصه موضوع الحكم تكون القضيّة المُتيقّنة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العنب إذا غلى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تعلّق اليقين بأمر أعمّ من غير دلالة دليل، فضلًا عن دلالته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عدل بعض أعاظم العصر رحمه اللَّه عمّا ذكر، و 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الدليل عين الموضوع العُرفيّ، و أنه لا وجه للمقابلة بينهما؛ فإنَّ مفاد الدليل يرجع بالآخرة إلى ما يقتضيه نظر العرف؛ لأنَّ المُرتكز العُرفيّ يكون قرينة صارفة عمّا يكون الدليل ظاهراً فيه ابتداءً، و لو كان الدليل ظاهراً بَدْواً في قيديّة العنوان، و كانت مُناسبة الحكم و الموضوع تقتضي عدمه، فاللّازم هو العمل على ما تقتضيه مناسبة الحكم و الموضوع؛ لأنّها بمنزلة القرينة المُتّصلة، فلم يستقرّ للدليل ظهور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فالمقابلة بين العُرف و الدليل إنّما هي باعتبار ما يكون الدليل ظاهراً فيه ابتداءً، مع قطع النظر عن المُرتكز العرفيّ، و إلّا فبالآخرة يتّحد ما يقتضيه مفاد الدليل مع ما يقتضيه المُرتكز العرفيّ </w:t>
      </w:r>
      <w:r>
        <w:rPr>
          <w:rStyle w:val="FootnoteAnchor"/>
          <w:rtl w:val="true"/>
        </w:rPr>
        <w:footnoteReference w:id="41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لعلّه إليه يرجع كلام الشيخ الأعظم في ذيل الأمر الأوّل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الكلام كما ترى خلاف مفروض كلام المُحقّق الخراسانيّ؛ لأنَّ مفروضه ما إذا لم تَصِر المُناسبة موجبة لصرف الكلام عن ظاهره</w:t>
      </w:r>
      <w:r>
        <w:rPr>
          <w:rFonts w:eastAsia="Amiri" w:cs="Amiri" w:ascii="Amiri" w:hAnsi="Amiri"/>
          <w:color w:val="111111"/>
          <w:sz w:val="28"/>
          <w:szCs w:val="28"/>
          <w:rtl w:val="true"/>
          <w:lang w:bidi="ar-SA"/>
        </w:rPr>
        <w:t>.</w:t>
      </w:r>
      <w:bookmarkStart w:id="332" w:name="pg2245_12931"/>
    </w:p>
    <w:p>
      <w:pPr>
        <w:pStyle w:val="BookText"/>
        <w:rPr/>
      </w:pPr>
      <w:bookmarkEnd w:id="332"/>
      <w:r>
        <w:rPr>
          <w:rFonts w:ascii="Amiri" w:hAnsi="Amiri" w:eastAsia="Amiri" w:cs="Amiri"/>
          <w:color w:val="111111"/>
          <w:sz w:val="28"/>
          <w:sz w:val="28"/>
          <w:szCs w:val="28"/>
          <w:rtl w:val="true"/>
          <w:lang w:bidi="ar-SA"/>
        </w:rPr>
        <w:t>و الحقّ في الجواب عنه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المُناسبة إن لم تَصِر موجبة لصرف ظاهر الكلام فلا يُعقل أن تكون القضيّة المُتيقّن موضوعها ما هو مرتكز العُرف تخيّلًا و إن صارت موجبة لذلك، فلا يرجع الفرق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ما أفاده المُحقّق المعاصر رحمه اللَّه يرجع بالآخرة إلى العجز عن تصوّر الفرق بين الأخذ من العُرف و الدليل، و أنت إذا تأمّلت فيما ذكرنا من أخذ الموضوع من العُرف أو الدليل لا تضح لك النظر في كلام هؤلاء الأعلام، و أنَّ ما أفاده هذا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المُقابلة بينهما في غير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فيه، و أنَّ المُقابلة بينهما في محلّها</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614121_3804643083"/>
      <w:bookmarkStart w:id="334" w:name="_Toc121"/>
      <w:bookmarkEnd w:id="333"/>
      <w:r>
        <w:rPr>
          <w:rtl w:val="true"/>
        </w:rPr>
        <w:t>المُراد من العُرف ليس العُرف المسامِح</w:t>
      </w:r>
      <w:bookmarkEnd w:id="334"/>
    </w:p>
    <w:p>
      <w:pPr>
        <w:pStyle w:val="BookText"/>
        <w:rPr/>
      </w:pPr>
      <w:r>
        <w:rPr>
          <w:rFonts w:ascii="Amiri" w:hAnsi="Amiri" w:eastAsia="Amiri" w:cs="Amiri"/>
          <w:color w:val="111111"/>
          <w:sz w:val="28"/>
          <w:sz w:val="28"/>
          <w:szCs w:val="28"/>
          <w:rtl w:val="true"/>
          <w:lang w:bidi="ar-SA"/>
        </w:rPr>
        <w:t>ثمّ إنَّ المُراد بالعُرف في مقابل العقل ليس هو العرف المسامح، حتّى يكون المُراد بالعقل العرف الغير المسامح الدقيق؛ ضرورة أنَّ الألفاظ كما أنّها وضعت للمعاني النفس الأمريّة تكون مُستعملة فيها أيضاً عند إلقاء الأحكام، فالكرّ و الميل و الفرسخ و الدم و الكلب و سائر الألفاظ المُتداولة في إلقاء الأحكام الشرعيّة لا تكون مُستعملة إلّا في المعاني الواقعيّة الحقيقيّة، فالكرّ بحسب الوزن ألف و مائتا رِطل عراقيّ من غير زيادة و نقيصة، لا الأعمّ منه و ما يسامح العرف، و كذا الدم ليس إلّا المادّة السيّالة في العروق التي تكون بها الحياة الحيوانيّة، لا الأعمّ منها و ما يطلق عليه اسم الدم مُسامحة، و ليس التسامح العُرفيّ في شي‌ءٍ من الموارد ميزاناً لا في تعيين المفاهيم، و لا في تشخيص المصاديق</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المُراد من الأخذ من العُرف هو العُرف مع دقّته في تشخيص المفاهيم</w:t>
      </w:r>
    </w:p>
    <w:p>
      <w:pPr>
        <w:pStyle w:val="BookText"/>
        <w:rPr/>
      </w:pPr>
      <w:r>
        <w:rPr>
          <w:rFonts w:ascii="Amiri" w:hAnsi="Amiri" w:eastAsia="Amiri" w:cs="Amiri"/>
          <w:color w:val="111111"/>
          <w:sz w:val="28"/>
          <w:sz w:val="28"/>
          <w:szCs w:val="28"/>
          <w:rtl w:val="true"/>
          <w:lang w:bidi="ar-SA"/>
        </w:rPr>
        <w:t>و المصاديق، و أنَّ تشخيصه هو الميزان، مقابل تشخيص العقل الدقيق البرهانيّ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الدم عبارة عن المائع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في القلب و العروق، و المسفوح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للحكم بالنجاسة، و ليس ما يتسامح فيه العرف و يطلق عليه الدم تسامحاً موضوعاً لها، لكنّ العرف مع كمال دقّته في تشخيص مصاديقه يحكم بأنَّ اللّون الباقي بعد غسل الثوب ليس بدم، بل هو لون الدم، لكنّ البرهان العقلي قام على امتناع انتقال العرض، فيحكم العقل لأجل ذلك بأنَّ اللّون هو الأجزاء الصغار من جوهر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الكلب ليس عند العُرف إلّا الجثّة الخارجيّة، و الحياة من حالاتها، و ميتة الكلب كلب عندهم حقيقة، و عند العقل البرهانيّ لمّا كانت شيئيّة الشي‌ء بصورته، و صورة الكلب نفسه الحيوانيّة الخاصّة به، فإذا فارقت جثّته سلب منها اسم الكلب، و تكون الجثّة جماداً واقعة تحت نوع آخر غير النوع الكلبيّ، بل يسلب عنها اسم جثّة الكلب و بدنه أيضاً، و يكون إطلاق بدن الكلب على الجثّة المُفارقة لها الروح مُسامحة لدى العقل، كما هو المُقرّر في محلّه من العلوم العالية</w:t>
      </w:r>
      <w:r>
        <w:rPr>
          <w:rStyle w:val="FootnoteAnchor"/>
          <w:rtl w:val="true"/>
        </w:rPr>
        <w:footnoteReference w:id="414"/>
      </w:r>
      <w:r>
        <w:rPr>
          <w:rFonts w:ascii="Amiri" w:hAnsi="Amiri" w:eastAsia="Amiri" w:cs="Amiri"/>
          <w:color w:val="111111"/>
          <w:sz w:val="28"/>
          <w:sz w:val="28"/>
          <w:szCs w:val="28"/>
          <w:rtl w:val="true"/>
          <w:lang w:bidi="ar-SA"/>
        </w:rPr>
        <w:t>، مع أنّها كلب لدى العرف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كون تشخيص المفاهيم و مصاديقها موكولًا إلى العُرف هو التسامح العرفيّ، فالتسامح العُرفي في مقابل الدقّة العقليّة البرهانيّة، لا في مقابل دقّة العُرف</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بين المُتكلّم و المخاطب في عُرف التخاطب و تعارف التكلّم بعض المُسامحات التي تكون مغفولًا عنها لديهم حال التكلّم، و يحتاج التوجّه إليها إلى زيادة نظر و دقّة، و مع الدقّة و النظرة الثانية يتوجّه المُتكلّم و المُخاطب إلى التسامح، ففي مثل</w:t>
      </w:r>
    </w:p>
    <w:p>
      <w:pPr>
        <w:pStyle w:val="BookText"/>
        <w:rPr/>
      </w:pPr>
      <w:r>
        <w:rPr>
          <w:rFonts w:ascii="Amiri" w:hAnsi="Amiri" w:eastAsia="Amiri" w:cs="Amiri"/>
          <w:color w:val="111111"/>
          <w:sz w:val="28"/>
          <w:sz w:val="28"/>
          <w:szCs w:val="28"/>
          <w:rtl w:val="true"/>
          <w:lang w:bidi="ar-SA"/>
        </w:rPr>
        <w:t>ذلك يكون المعنى المتفاهم ابتداءً موضوعاً للحكم، فإذا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إلى الصلاة فولِّ وجهك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المخاطب من هذا الكلام إلّا استقبال المسجد بالنحو المُتعارف، و إن كانت الدقّة العرفيّة أيضاً تقتضي كونه أضيق ممّا هو المُتفاهم عرفاً، فالمناط في أمثاله هو التفاهم العرفي، لا الدقّة العقليّة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الميزان هو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الميزان في تشخيص جميع المفاهيم و مصاديقها و كيفيّة صدقها عليها هو العُرف؛ لأنَّ الشارع كواحد من العُرف في المخاطبات و المحاورات، و ليس له اصطلاح خاصّ، و لا طريقة خاصّة في إلقاء الكلام إلى المُخاطب، فكما يفهم أهل المحاورات من 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ثوبك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قول الشارع أيضاً، و ليس مخاطبة الشارع مع الناس إلّا كمخاطبة بعضهم بعضاً،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 إِلَى الْمَرافِقِ</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لا يكون المُراد منه إلّا الغسل بالنحو المُتعارف، لا الغسل من الأعلى فالأعلى بنحو الدقّة العقليّة، فكما أنَّ العُرف محكّم في تشخيص المفاهيم محكّم في صدقها على المصاديق و تشخيص مصاديقها، فما ليس بمصداق عُرفاً ليس بمصداق للموضوع المحكوم بالحكم الشرعيّ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أفاده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تشخيص المصاديق ليس موكولًا إلى العرف </w:t>
      </w:r>
      <w:r>
        <w:rPr>
          <w:rStyle w:val="FootnoteAnchor"/>
          <w:rtl w:val="true"/>
        </w:rPr>
        <w:footnoteReference w:id="416"/>
      </w:r>
      <w:r>
        <w:rPr>
          <w:rFonts w:ascii="Amiri" w:hAnsi="Amiri" w:eastAsia="Amiri" w:cs="Amiri"/>
          <w:color w:val="111111"/>
          <w:sz w:val="28"/>
          <w:sz w:val="28"/>
          <w:szCs w:val="28"/>
          <w:rtl w:val="true"/>
          <w:lang w:bidi="ar-SA"/>
        </w:rPr>
        <w:t xml:space="preserve">و تبعه غيره </w:t>
      </w:r>
      <w:r>
        <w:rPr>
          <w:rStyle w:val="FootnoteAnchor"/>
          <w:rtl w:val="true"/>
        </w:rPr>
        <w:footnoteReference w:id="417"/>
      </w:r>
      <w:r>
        <w:rPr>
          <w:rFonts w:ascii="Amiri" w:hAnsi="Amiri" w:eastAsia="Amiri" w:cs="Amiri"/>
          <w:color w:val="111111"/>
          <w:sz w:val="28"/>
          <w:sz w:val="28"/>
          <w:szCs w:val="28"/>
          <w:rtl w:val="true"/>
          <w:lang w:bidi="ar-SA"/>
        </w:rPr>
        <w:t xml:space="preserve">ليس على ما ينبغي، فالحقّ ما ذكرنا تبعاً لشيخنا العلّامة أعلى اللَّه مقامه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bookmarkStart w:id="335" w:name="pg2245_12937"/>
    </w:p>
    <w:p>
      <w:pPr>
        <w:pStyle w:val="Heading3"/>
        <w:numPr>
          <w:ilvl w:val="2"/>
          <w:numId w:val="1"/>
        </w:numPr>
        <w:rPr/>
      </w:pPr>
      <w:bookmarkStart w:id="336" w:name="__RefHeading___Toc1614123_3804643083"/>
      <w:bookmarkStart w:id="337" w:name="_Toc122"/>
      <w:bookmarkEnd w:id="335"/>
      <w:bookmarkEnd w:id="336"/>
      <w:r>
        <w:rPr>
          <w:rtl w:val="true"/>
        </w:rPr>
        <w:t>الأمر الثاني أنَّ أخبار الباب هل تختصّ بالاستصحاب أو تعمّ غيره؟</w:t>
      </w:r>
      <w:bookmarkEnd w:id="337"/>
    </w:p>
    <w:p>
      <w:pPr>
        <w:pStyle w:val="Heading4"/>
        <w:numPr>
          <w:ilvl w:val="3"/>
          <w:numId w:val="1"/>
        </w:numPr>
        <w:rPr/>
      </w:pPr>
      <w:bookmarkStart w:id="338" w:name="__RefHeading___Toc1614125_3804643083"/>
      <w:bookmarkStart w:id="339" w:name="_Toc123"/>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ممّا يُعتبر في جريان الاستصحاب هو أن يكون اليقين بالقضيّة المُستصحبة فعليّاً؛ بأن يكون حال إجراء الأصل مُتيقّناً لوجود المُستصحب في السابق، حتّى يكون شكّه في البقاء، و هذا ممّا لا إشكال فيه و 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أنَّ الأخبار الواردة في الباب هل يكون مفادها مُختصّاً بالاستصحاب أو يعمّ قاعدة اليقين، أو يعمّ مع ذلك أمراً ثالثاً، و هو ترتيب آثار البقاء مع الشكّ في الحدوث بمُجرّد تعلّق اليقين بحدوثه و زواله؟</w:t>
      </w:r>
    </w:p>
    <w:p>
      <w:pPr>
        <w:pStyle w:val="BookText"/>
        <w:rPr/>
      </w:pPr>
      <w:r>
        <w:rPr>
          <w:rFonts w:ascii="Amiri" w:hAnsi="Amiri" w:eastAsia="Amiri" w:cs="Amiri"/>
          <w:color w:val="111111"/>
          <w:sz w:val="28"/>
          <w:sz w:val="28"/>
          <w:szCs w:val="28"/>
          <w:rtl w:val="true"/>
          <w:lang w:bidi="ar-SA"/>
        </w:rPr>
        <w:t>و بعبارة اخرى أنَّ الكبرى الكليّة الواردة في الأخبار كما تشمل عدم نقض اليقين المُتحقّق فعلًا المُتعلّق بالأمر السابق مع الشكّ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المُعبّر عنه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قاعدة اليقين، و هي ما إذا تعلّق اليقين بأمر في زمان، ثمّ زال اليقين، و شكّ في كونه في ذلك الزمان مُتحقّقاً أو لا، فتترتّب عليه آثار المُتيقّن في ذلك الزمان، و تشمل أيضاً أمراً ثالثاً، و هو ما إذا تعلّق اليقين بأمر سابق، و شكّ في بقائه مع زوال اليقين، فيحكم بترتّب آثار البقاء مع سراية الشكّ إلى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الجمع بين القاعدتين أو القواعد الثلاث في مثل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فشكّ فليمض على يقينه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الظاهر من أخبار الباب ما ذا؟</w:t>
      </w:r>
      <w:bookmarkStart w:id="340" w:name="pg2245_12939"/>
    </w:p>
    <w:p>
      <w:pPr>
        <w:pStyle w:val="BookText"/>
        <w:rPr/>
      </w:pPr>
      <w:bookmarkEnd w:id="340"/>
      <w:r>
        <w:rPr>
          <w:rFonts w:ascii="Amiri" w:hAnsi="Amiri" w:eastAsia="Amiri" w:cs="Amiri"/>
          <w:color w:val="111111"/>
          <w:sz w:val="28"/>
          <w:sz w:val="28"/>
          <w:szCs w:val="28"/>
          <w:rtl w:val="true"/>
          <w:lang w:bidi="ar-SA"/>
        </w:rPr>
        <w:t>أمّا الكلام في أوّل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الحقّ إمكان الجمع بين القواعد الثلاث، فضلًا عن الجمع بين القاعدتين، و ما جعل محذوراً فيه ممكن الدفع</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614127_3804643083"/>
      <w:bookmarkStart w:id="342" w:name="_Toc124"/>
      <w:bookmarkEnd w:id="341"/>
      <w:r>
        <w:rPr>
          <w:rtl w:val="true"/>
        </w:rPr>
        <w:t>إشكال الشيخ الأعظم على إمكان الجمع بين القاعدتين</w:t>
      </w:r>
      <w:bookmarkEnd w:id="342"/>
    </w:p>
    <w:p>
      <w:pPr>
        <w:pStyle w:val="BookText"/>
        <w:rPr/>
      </w:pPr>
      <w:r>
        <w:rPr>
          <w:rFonts w:ascii="Amiri" w:hAnsi="Amiri" w:eastAsia="Amiri" w:cs="Amiri"/>
          <w:color w:val="111111"/>
          <w:sz w:val="28"/>
          <w:sz w:val="28"/>
          <w:szCs w:val="28"/>
          <w:rtl w:val="true"/>
          <w:lang w:bidi="ar-SA"/>
        </w:rPr>
        <w:t>امّا ما أفاده الشيخ الأعظم فمُحصّله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القاعدتين مُختلف غير ممكن الجمع في لحاظٍ واحدٍ؛ لأنَّ مناط الاستصحاب اتحاد مُتعلّق اليقين و الشكّ مع قطع النظر عن الزمان، و مناط القاعدة اتحاد مُتعلّقهما من جهة الزمان، و لا يمكن الجمع بينهما في 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فليمض على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لأنَّ المُضيّ في الاستصحاب بمعنى ترتيب آثار البقاء من غير نظر إلى الحدوث، و في القاعدة بمعنى ترتيب آثار الحدوثِ من غير نظر إلى البقاء، و هما نظران متخالفان، و معنيان غير مجتمعين في الإرادة و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المُضيّ معنى واحد، و هو فرض الشكّ كعدمه، و يختلف باختلاف المُتعلّق، فالمضيّ مع الشكّ في الحدوث بمعنى الحكم بالحدوث، و مع الشكّ في البقاء بمعنى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يصحّ إذا كان هنا فردان من اليقين، يكون أحدهما مُتعلّقاً بالحدوث، و الآخر بالبقاء، و ليس كذلك؛ لأنَّ اليقين بعدالة زيد يوم الجمعة ليس فردين من اليقين، بل هو يقين واحد، و يكون تعدّده بالاعتبار، و يكون عموم أفراد اليقين حقيقة باعتبار الامور الواقعيّة، كعدالة زيد و فسق عمرو، لا باعتبار ملاحظة اليقين بشي‌ء واحد حتّى ينحلّ اليقين بعدالة زيد إلى فردين يتعلّق بكلّ منهما شكّ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اعتبر المُتكلّم في كلامه الشكّ في هذا المُتيقّن من دون تقييده بيوم الجمعة فالمضيّ على اليقين حكم باستمراره، و إن اعتبره مُقيّداً فالمضيّ هو الحكم</w:t>
      </w:r>
      <w:bookmarkStart w:id="343" w:name="pg2245_12941"/>
    </w:p>
    <w:p>
      <w:pPr>
        <w:pStyle w:val="BookText"/>
        <w:rPr/>
      </w:pPr>
      <w:bookmarkEnd w:id="343"/>
      <w:r>
        <w:rPr>
          <w:rFonts w:ascii="Amiri" w:hAnsi="Amiri" w:eastAsia="Amiri" w:cs="Amiri"/>
          <w:color w:val="111111"/>
          <w:sz w:val="28"/>
          <w:sz w:val="28"/>
          <w:szCs w:val="28"/>
          <w:rtl w:val="true"/>
          <w:lang w:bidi="ar-SA"/>
        </w:rPr>
        <w:t>بالحدوث، من غير تعرّض للبقاء، و هذان لا يجتمعان في الإرادة</w:t>
      </w:r>
      <w:r>
        <w:rPr>
          <w:rStyle w:val="FootnoteAnchor"/>
          <w:rtl w:val="true"/>
        </w:rPr>
        <w:footnoteReference w:id="420"/>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محصّل كلامه إلى أنَّ اليقين إذا كان بالنسبة إلى عدالة زيد في قاعدة اليقين و الاستصحاب من قبيل العموم بالنسبة إلى أفراده يمكن أن يشملهما، و إن كان المضيّ بالنسبة إلى كلّ فرد ينتج أمراً مغايراً للفرد الآخر، لكن ليس الأمر كذلك؛ لأنَّ عدالة زيد أمر واحد في القاعدتين، و إنّما اختلافهما بالاعتبار، و ليست الكثرة الاعتباريّة من أفراد العامّ حتّى يشملهما، بل لا بدّ من اعتبارهما، و لا يجتمع الاعتباران في لحاظٍ واحدٍ</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1614129_3804643083"/>
      <w:bookmarkStart w:id="345" w:name="_Toc125"/>
      <w:bookmarkEnd w:id="344"/>
      <w:r>
        <w:rPr>
          <w:rtl w:val="true"/>
        </w:rPr>
        <w:t>تقرير بعض الأجلّة كلام الشيخ و إقامة البرهان عليه</w:t>
      </w:r>
      <w:bookmarkEnd w:id="345"/>
    </w:p>
    <w:p>
      <w:pPr>
        <w:pStyle w:val="BookText"/>
        <w:rPr/>
      </w:pPr>
      <w:r>
        <w:rPr>
          <w:rFonts w:ascii="Amiri" w:hAnsi="Amiri" w:eastAsia="Amiri" w:cs="Amiri"/>
          <w:color w:val="111111"/>
          <w:sz w:val="28"/>
          <w:sz w:val="28"/>
          <w:szCs w:val="28"/>
          <w:rtl w:val="true"/>
          <w:lang w:bidi="ar-SA"/>
        </w:rPr>
        <w:t>و نسج على هذا المنوال بعض أعاظم العصر رحمه اللَّه، و أقام برهاناً على عدم تغاير اليقين في الاستصحاب و القاعدة بحسب الأفراد، فقال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تغاير أفراد اليقين إنَّما يكون بتغاير مُتعلّقاته، كاليقين بعدالة زيد و قيام بكر، و إلّا فاليقين من حيث نفسه لا يتعدّد و مُتعلّق اليقين في القاعدة و الاستصحاب غير مُتعدّد؛ لأنَّ مُتعلّقه في كلّ منهما هو عدالة زيد، و عدم انحفاظ اليقين في القاعدة دون الاستصحاب لا يوجب التغاير الفرديّ؛ فإنَّ الانحفاظ و عدمه من الطوارئ اللّاحقة لليقين بعد وجوده، و ذلك لا يقتضي تعدّد أفراد اليقين مع وحدة المُتعلّق؛ بداهة أنَّ تعدّد أفراد الطبيعة الواحدة إنّما يكون لأجل اختلاف المُشخّصات الفرديّة حال وجود الأفراد، و الخصوصيّات اللّاحقة بعد الوجود لا تكون مُفرِّدة</w:t>
      </w:r>
      <w:r>
        <w:rPr>
          <w:rStyle w:val="FootnoteAnchor"/>
          <w:rtl w:val="true"/>
        </w:rPr>
        <w:footnoteReference w:id="42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346" w:name="pg2245_12943"/>
    </w:p>
    <w:p>
      <w:pPr>
        <w:pStyle w:val="Heading4"/>
        <w:numPr>
          <w:ilvl w:val="3"/>
          <w:numId w:val="1"/>
        </w:numPr>
        <w:rPr/>
      </w:pPr>
      <w:bookmarkStart w:id="347" w:name="__RefHeading___Toc1614131_3804643083"/>
      <w:bookmarkStart w:id="348" w:name="_Toc126"/>
      <w:bookmarkEnd w:id="346"/>
      <w:bookmarkEnd w:id="347"/>
      <w:r>
        <w:rPr>
          <w:rtl w:val="true"/>
        </w:rPr>
        <w:t>الجواب عنهما</w:t>
      </w:r>
      <w:bookmarkEnd w:id="348"/>
    </w:p>
    <w:p>
      <w:pPr>
        <w:pStyle w:val="BookText"/>
        <w:rPr/>
      </w:pPr>
      <w:r>
        <w:rPr>
          <w:rFonts w:ascii="Amiri" w:hAnsi="Amiri" w:eastAsia="Amiri" w:cs="Amiri"/>
          <w:color w:val="111111"/>
          <w:sz w:val="28"/>
          <w:sz w:val="28"/>
          <w:szCs w:val="28"/>
          <w:rtl w:val="true"/>
          <w:lang w:bidi="ar-SA"/>
        </w:rPr>
        <w:t>و أنت خبير بما في كلامهما؛ لأنَّ اليقين المُتعلّق بشي‌ءٍ واحد من شخص واحد في زمان واحد و إن كان أمراً واحداً، كيقين زيد وقت ظهر يوم السبت بعدالة عمرو في ظهر يوم الجمعة و ليس اختلافه من حيث التقيّد و اللّاتقيّد، و من حيث الانحفاظ و اللّاانحفاظ من المُشخّصات و المُكثّرات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ليس خطاب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مُتوجّهاً إلى شخص واحد مع تلك القيود، بل هو خطاب مُطلق شامل لكلّ يقين من كلّ مُتيقّن، تعلّق بكل مُتعلّق و شكّ فيما تيقّن، سواء كان شكّه سارياً كقاعدة اليقين، أولا كالاستصحاب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عدّة أفراد تيقّن بعضهم بعدالة زيد، و بعضهم بفسق عمرو، و بعضهم بقيام بكر، ثمّ شكّت الطائفة الاولى في عدالة زيد بنحو الشكّ الساري، و الطائفة الثانية في فسق عمرو بنحو الشكّ في البقاء، و الثالثة في قيام بكر بنحو الشكّ الساري، مع الشكّ في قيامه في الزمان المُتأخّر، فلا إشكال في كون يقين كلّ من هذه الأفراد فرداً من عنوان اليقين، سواء في ذلك الطائفة التي تعلّق يقينها بشي‌ءٍ واحد كعدالة زيد مثلًا، أو الطائفة التي تعلّق يقينها بأشياء مُختلفة، أمّا الثانية فواضح، و أمّا الاولى؛ فلتعدّد المحلّ القائم به اليقين، فاليقين القائم بنفس كلّ إنسان فرد من اليقين غير الفرد الآخر القائم بنفس شخص آخر، و إن كان مُتعلّقهما شيئاً واحداً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الداعي إلى فرض يقين واحد من شخص واحد بالنسبة إلى مُتعلّق واحد، حتّى لا يكون التعدّد إلّا اعتباريّاً؟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معنى لاعتبار ذلك، بل لا يعقل؛ لأنَّ مورد قاعدة اليقين لا يعقل أن يكون مُتداخلًا مع مورد الاستصحاب، فلكلٍّ منهما أفراد خاصّة بهما؛ فإنَّ المُعتبر في الاستصحاب بقاء اليقين،</w:t>
      </w:r>
    </w:p>
    <w:p>
      <w:pPr>
        <w:pStyle w:val="BookText"/>
        <w:rPr/>
      </w:pPr>
      <w:r>
        <w:rPr>
          <w:rFonts w:ascii="Amiri" w:hAnsi="Amiri" w:eastAsia="Amiri" w:cs="Amiri"/>
          <w:color w:val="111111"/>
          <w:sz w:val="28"/>
          <w:sz w:val="28"/>
          <w:szCs w:val="28"/>
          <w:rtl w:val="true"/>
          <w:lang w:bidi="ar-SA"/>
        </w:rPr>
        <w:t>و في القاعدة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المأخوذ في الكبرى في أخبار الباب هو عنوان اليقين و الشكّ، و النهي عن نقض الأوّل بالثاني، و هذه الكبرى الكليّة لها مصاديق كثيرة، جملة منها تكون من قبيل الشكّ الساري، و جملة منها لا من قبيله، فمن تيقّن بعدالة زيد يوم الجُمعة ثمّ شكّ في عدالته في ذاك اليوم يمكن أن يكون مُخاطباً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شكّ في بقاء عدالته يوم السبت مع اليقين بعدالته يوم الجمعة يمكن أن يُخاطب بهذا الخطاب من غير استعمال لفظ اليقين أو الشكّ أو النقض أو النهي في معنيين، و من دون لحاظ أمرين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المُتكلّم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يعقل أن يلاحظ في إلقاء هذه الكبرى غير عنوان الشكّ و اليقين المأخوذين في موضوع حكمه، و غير مُتعلّق نهيه، فلا تكون مُتعلّقات اليقين و الشكّ مُطلقاً منظوراً إليها، فتشمل جميع مصاديق اليقين و الشكّ، كانت من قبيل قاعدة اليقين، أو الاستصحاب، أو القاعدة الثالثة التي تكون من جهة كقاعدة اليقين، و من جهة كالاستصحاب؛ لأنَّ عنوان اليقين و الشكّ شامل لكلّ شكّ و يقين، لا بجهات الكثرة، بل بجهة اليقين و الشكّ، و معنى المضيّ و عدم النقض ليس إلّا ترتيب الآثار تعبّداً، و فرض الشكّ كلا شكّ، أو فرض تحقّق اليقين في عالم التشريع، و لا يلزم منه محذور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لو فرضت الكبرى في الاستصحاب كليّة ذات مصاديق؛ فإنَّ الكلّي أيضاً يشمل كثرة الأفراد لا بخصوصيّاتها المُمتازة، و أمّا لو كانت الكبرى من قبيل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فالإشكال أو أوهن؛ لأنَّ الحكم فيها على نفس العناوين من غير نظر إلى الخصوصيّات، كما هو المُقرّر في محلّه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bookmarkStart w:id="349" w:name="pg2245_12947"/>
    </w:p>
    <w:p>
      <w:pPr>
        <w:pStyle w:val="Heading4"/>
        <w:numPr>
          <w:ilvl w:val="3"/>
          <w:numId w:val="1"/>
        </w:numPr>
        <w:rPr/>
      </w:pPr>
      <w:bookmarkStart w:id="350" w:name="__RefHeading___Toc1614133_3804643083"/>
      <w:bookmarkStart w:id="351" w:name="_Toc127"/>
      <w:bookmarkEnd w:id="349"/>
      <w:bookmarkEnd w:id="350"/>
      <w:r>
        <w:rPr>
          <w:rtl w:val="true"/>
        </w:rPr>
        <w:t>كلام العلّامة الحائري قدّس سرّه و جوابه</w:t>
      </w:r>
      <w:bookmarkEnd w:id="351"/>
    </w:p>
    <w:p>
      <w:pPr>
        <w:pStyle w:val="BookText"/>
        <w:rPr/>
      </w:pPr>
      <w:r>
        <w:rPr>
          <w:rFonts w:ascii="Amiri" w:hAnsi="Amiri" w:eastAsia="Amiri" w:cs="Amiri"/>
          <w:color w:val="111111"/>
          <w:sz w:val="28"/>
          <w:sz w:val="28"/>
          <w:szCs w:val="28"/>
          <w:rtl w:val="true"/>
          <w:lang w:bidi="ar-SA"/>
        </w:rPr>
        <w:t>و ممّا ذكرنا يتَّضح النظر فيما أفاده شيخنا العلّامة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المُتكلّم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تيقّنت بشي‌ءٍ ثمّ شككت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لاحظ الشي‌ء المُتيقّن مُقيّداً بالزمان، و إمّا لاحظ الزمان ظرفاً للمُتيقن، و إمّا أهمل ملاحظة الزمان رأساً، و لا تخلو القضيّة عن تلك الحالات الثلاث، و ينطبق بعضها على قاعدة اليقين، و بعضها على الاستصحاب، و لا يمكن الجمع بين تلك الحالات؛ أي ملاحظة الزمان قيداً و ظرفاً، أو ملاحظته و عدم ملاحظته </w:t>
      </w:r>
      <w:r>
        <w:rPr>
          <w:rStyle w:val="FootnoteAnchor"/>
          <w:rtl w:val="true"/>
        </w:rPr>
        <w:footnoteReference w:id="423"/>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المُتعلّق مُطلقاً لم يؤخذ في الكبرى الكليّة، و لم يلاحظ مطلقاً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الجمعة أخذ قيداً أو ظرفاً، و معنى كون اليقين طريقاً في موضوع الكبرى ليس لحاظ المُتيقّنات باليقين، فإنَّ اليقين المأخوذ في الكبرى عنوان لليقين الطريقيّ الذي للمُكلّفين، لا طريق إلى المُتعلّقات، ففي 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ينقدح في ذهن المُتكلّم غير نفس تلك العناوين المأخوذة فيه، و لا عين و لا أثر لمتعلّق اليقين و الشكّ، حتّى يطالب مُتعلّق هذا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اخذ قيداً أو ظرفاً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تنقض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يشمل كلّ عقد و لو كانت مُتخالفة الاعتبار، و غير ممكنة الجمع في اللّحاظ، لكنّها مُجتمعة في عنوان العقد،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نقض كلّ يقين بالشكّ، و إن كانت مصاديقها باعتبار المُتعلّقات مُمتنعة اللّحاظ في لحاظٍ واحدٍ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الإشكال في ما جُعِل محذوراً آخر للجمع بين القاعدتين في هذه</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اليقين في الاستصحاب اخذ طريقاً، و يراد منه المُتيقّن، و معنى عدم نقض اليقين في الاستصحاب أنَّ ما ثبت يدوم، و يكون اليقين طريقاً لإحرازه، فذكر اليقين في القضيّة على هذا التقدير ليس إلّا لكونه طريقاً لإحراز مُتعلّقه، من دون أن تكون له مدخليّة في الحكم، فيكون مفاد القضيّة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شي‌ء موجوداً في السابق و احتمل زواله لا يعتنى بهذا الاحتمال، و أمّا اليقين في القاعدة اخذ موضوعاً لوجوب المضيّ، و ملحوظاً بذاته، فالموضوع في الاستصحاب هو المُتعلّق، و في القاعدة نفس اليقين، و لا يمكن الجمع بين هذين اللّحاظين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يُقرّر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طريقيّة اليقين في القاعدة لا يمكن بعد تبدّله بالشكّ، و أمّا في الاستصحاب فيكون طريقاً؛ لكونه موجوداً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سابقاً</w:t>
      </w:r>
      <w:r>
        <w:rPr>
          <w:rStyle w:val="FootnoteAnchor"/>
          <w:rtl w:val="true"/>
        </w:rPr>
        <w:footnoteReference w:id="427"/>
      </w:r>
      <w:r>
        <w:rPr>
          <w:rFonts w:ascii="Amiri" w:hAnsi="Amiri" w:eastAsia="Amiri" w:cs="Amiri"/>
          <w:color w:val="111111"/>
          <w:sz w:val="28"/>
          <w:sz w:val="28"/>
          <w:szCs w:val="28"/>
          <w:rtl w:val="true"/>
          <w:lang w:bidi="ar-SA"/>
        </w:rPr>
        <w:t>في باب لزوم فعليّة الشكّ و اليقين في الاستصحاب أنَّ اليقين الطريقيّ اخذ موضوعاً، و أنَّ الظاهر من الأدلّة أنَّ العناية فيها بأنَّ اليقين لكونه أمراً مُبرماً مُستحكماً لا ينبغي أن ينقض بالشكّ، فالموضوع في الاستصحاب هو اليقين الطريقيّ، و كذا في القاعدة، فعنوان اليقين المأخوذ في القاعدتين مرآة لليقين الطريقيّ لكلّ مُكلّف كان على يقين فشكّ</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سالفاً</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النقض لا يتناسب إلّا مع اليقين الطريقيّ الذي يكون في اعتبار العقلاء كأنَّه حبل مشدود أحد جانبيه على المُتيقّن، و الآخر على المُتعلّق، فلا إشكال في أنَّ اليقين في الاستصحاب هو اليقين الطريقيّ، لكنّ هذا اليقين الطريقيّ اخذ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شي‌ء موجوداً و احتمل زواله لا يعتنى بهذا الاحتمال بعيد عن الصواب، و أجنبيّ عن أخبار الباب، و كذا اليقين في القاعدة بما أنَّه طريق إلى الواقع اخذ موضوعاً، لا بما أنَّه صفة قائمة بالنفس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في القاعدة ملحوظ من حيث نفسه لبطلان كاشفيّته بعد تبديله إلى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في ظرف وجوده كان كاشفاً عن مُتعلّقه، و المُطابقة للواقع و كون الكشف كشفاً صادقاً لا دخل لهما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في عدالة زيد يوم الجمعة فشكّ بعده في عدالته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باليقين فيه إلّا ما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في عدالة زيد يوم الجمعة فشكّ في بقائها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تفاوت في النظر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القاعدتين بل القواعد الثلاث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لا مانع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إمكان الجمع بينهما في اللّحاظ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من جهة اليقين، و لا من جهة المُتيقّن، و لا من جهة النقض، و لا من جهة الحكم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يرجع إلى محذور بعد التأمّل فيما ذكرنا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في وجه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إرجاع الضمير في الاستصحاب إلى ما تعلّق به اليقين يكون بنحو من المُسامحة؛ لعدم وحدة متعلّقيهما دقّة، بخلاف الإرجاع في القاعدة، فهما نظران مُختلفان لا جامع بينهما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الكبرى هي عدم نقض اليقين بالشكّ من غير نظر إلى المُتعلّقات، و اختلاف الخصوصيّات فيها غير منظور، و العناوين قابلة للانطباق على كلّ من الخصوصيّتين و لو لم يكن اجتماعهما في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المصداق الحقيقيّ و المُسامحيّ التأوليّ بمكان من الإمكان؛ لما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الادّعاء في المجازات إنّما هو في تطبيق العناوين الحقيقيّة على الأفراد، لا في الاستعمال </w:t>
      </w:r>
      <w:r>
        <w:rPr>
          <w:rStyle w:val="FootnoteAnchor"/>
          <w:rtl w:val="true"/>
        </w:rPr>
        <w:footnoteReference w:id="432"/>
      </w:r>
      <w:r>
        <w:rPr>
          <w:rFonts w:ascii="Amiri" w:hAnsi="Amiri" w:eastAsia="Amiri" w:cs="Amiri"/>
          <w:color w:val="111111"/>
          <w:sz w:val="28"/>
          <w:sz w:val="28"/>
          <w:szCs w:val="28"/>
          <w:rtl w:val="true"/>
          <w:lang w:bidi="ar-SA"/>
        </w:rPr>
        <w:t>، مع أنَّ المقام أجنبيّ عن ذاك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مقام الاستظهار من الأدلّة، فلا ينبغي الإشكال في أنَّ أخبار الباب كلّها تحوم حول كبرى كلّية 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فالمجعول هي هذه الكبرى مع اختلاف التعبيرات، و لا إشكال في أنَّ الظاهر منها كون اليقين مُتحقّقاً فعلًا، فمعنى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اليقين المُتحقّق بالفعل لا ينقض و لا يشمل اليقين الزائل، و هذا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القاعدة لأنَّ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فشكّ فليمض على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في أنَّ اليقين كان مُتحقّقاً، فزال و قام مقامه الشكّ </w:t>
      </w:r>
      <w:r>
        <w:rPr>
          <w:rStyle w:val="FootnoteAnchor"/>
          <w:rtl w:val="true"/>
        </w:rPr>
        <w:footnoteReference w:id="433"/>
      </w:r>
      <w:r>
        <w:rPr>
          <w:rFonts w:ascii="Amiri" w:hAnsi="Amiri" w:eastAsia="Amiri" w:cs="Amiri"/>
          <w:color w:val="111111"/>
          <w:sz w:val="28"/>
          <w:sz w:val="28"/>
          <w:szCs w:val="28"/>
          <w:rtl w:val="true"/>
          <w:lang w:bidi="ar-SA"/>
        </w:rPr>
        <w:t>، لكنّه فاسد، فإنَّ هذا التعبير عين التعبير الوارد في صحيحة زُرارة الثانية و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كنت على يقينٍ من طهارتك فشككت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أنّها واردة في مورد الاستصحاب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في هذا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الغالب أن يكون حصول الشكّ في البقاء مُتأخّراً عن اليقين بالحدوث، و قد مرّ في ذيلها عند ذكر أخبار الباب ما يؤيّد ذلك </w:t>
      </w:r>
      <w:r>
        <w:rPr>
          <w:rStyle w:val="FootnoteAnchor"/>
          <w:rtl w:val="true"/>
        </w:rPr>
        <w:footnoteReference w:id="434"/>
      </w:r>
      <w:r>
        <w:rPr>
          <w:rFonts w:ascii="Amiri" w:hAnsi="Amiri" w:eastAsia="Amiri" w:cs="Amiri"/>
          <w:color w:val="111111"/>
          <w:sz w:val="28"/>
          <w:sz w:val="28"/>
          <w:szCs w:val="28"/>
          <w:rtl w:val="true"/>
          <w:lang w:bidi="ar-SA"/>
        </w:rPr>
        <w:t>، مع أنَّ في</w:t>
      </w:r>
      <w:bookmarkStart w:id="352" w:name="pg2245_12955"/>
    </w:p>
    <w:p>
      <w:pPr>
        <w:pStyle w:val="BookText"/>
        <w:rPr/>
      </w:pPr>
      <w:bookmarkEnd w:id="352"/>
      <w:r>
        <w:rPr>
          <w:rFonts w:ascii="Amiri" w:hAnsi="Amiri" w:eastAsia="Amiri" w:cs="Amiri"/>
          <w:color w:val="111111"/>
          <w:sz w:val="28"/>
          <w:sz w:val="28"/>
          <w:szCs w:val="28"/>
          <w:rtl w:val="true"/>
          <w:lang w:bidi="ar-SA"/>
        </w:rPr>
        <w:t>ذيلها شهادة بأنَّ المجعول فيها عين المجعول في صحيحتي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أخبار الاستصحاب دالّة على القاعدة فضلًا عن القاعدتين، بل ليس عليها دليل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أخبار التجاوز و الفراغ دالّة عليها</w:t>
      </w:r>
      <w:r>
        <w:rPr>
          <w:rStyle w:val="FootnoteAnchor"/>
          <w:rtl w:val="true"/>
        </w:rPr>
        <w:footnoteReference w:id="435"/>
      </w:r>
      <w:r>
        <w:rPr>
          <w:rFonts w:ascii="Amiri" w:hAnsi="Amiri" w:eastAsia="Amiri" w:cs="Amiri"/>
          <w:color w:val="111111"/>
          <w:sz w:val="28"/>
          <w:sz w:val="28"/>
          <w:szCs w:val="28"/>
          <w:rtl w:val="true"/>
          <w:lang w:bidi="ar-SA"/>
        </w:rPr>
        <w:t>في غير محلّه؛ لأنَّ مفادها غير القاعدة موضوعاً و ملاكاً، كما سيجي‌ء</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1614135_3804643083"/>
      <w:bookmarkStart w:id="354" w:name="_Toc128"/>
      <w:bookmarkEnd w:id="353"/>
      <w:r>
        <w:rPr>
          <w:rtl w:val="true"/>
        </w:rPr>
        <w:t>الأمر الثالث تقدّم الأمارات على الاستصحاب</w:t>
      </w:r>
      <w:bookmarkEnd w:id="354"/>
    </w:p>
    <w:p>
      <w:pPr>
        <w:pStyle w:val="Heading4"/>
        <w:numPr>
          <w:ilvl w:val="3"/>
          <w:numId w:val="1"/>
        </w:numPr>
        <w:rPr/>
      </w:pPr>
      <w:bookmarkStart w:id="355" w:name="__RefHeading___Toc1614137_3804643083"/>
      <w:bookmarkStart w:id="356" w:name="_Toc129"/>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ممّا يُعتبر في الاستصحاب أن يكون المُستصحب مشكوك البقاء، فلا يجري مع إحراز بقائه أو ارتفاعه، و هذا مع الإحراز الوجدانيّ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فيما إذا قامت أمارة مُعتبرة شرعيّة أو عقلائيّة ممضاة شرعاً على طبق الحالة السابقة، أو على خلافها؛ حيث إنَّ الشكّ الوجدانيّ لا يزول معه، و لكن لا إشكال في تقدّمها عليه، و إنّما الإشكال في وجه التقدّم، و أنه هل هو لأجل الحكومة أو الورود أو غيرهما؟</w:t>
      </w:r>
    </w:p>
    <w:p>
      <w:pPr>
        <w:pStyle w:val="BookText"/>
        <w:rPr/>
      </w:pPr>
      <w:r>
        <w:rPr>
          <w:rFonts w:ascii="Amiri" w:hAnsi="Amiri" w:eastAsia="Amiri" w:cs="Amiri"/>
          <w:color w:val="111111"/>
          <w:sz w:val="28"/>
          <w:sz w:val="28"/>
          <w:szCs w:val="28"/>
          <w:rtl w:val="true"/>
          <w:lang w:bidi="ar-SA"/>
        </w:rPr>
        <w:t>فلا بدّ قبل الورود في المقصود من بيان الفرق بين تلك العناوين التي يمكن أن تكون وجه التقدّم، و بيان الضابط فيها، و قد مرّ شطر من الكلام فيها في مباحث البراءة</w:t>
      </w:r>
      <w:r>
        <w:rPr>
          <w:rStyle w:val="FootnoteAnchor"/>
          <w:rtl w:val="true"/>
        </w:rPr>
        <w:footnoteReference w:id="437"/>
      </w:r>
      <w:r>
        <w:rPr>
          <w:rFonts w:ascii="Amiri" w:hAnsi="Amiri" w:eastAsia="Amiri" w:cs="Amiri"/>
          <w:color w:val="111111"/>
          <w:sz w:val="28"/>
          <w:sz w:val="28"/>
          <w:szCs w:val="28"/>
          <w:rtl w:val="true"/>
          <w:lang w:bidi="ar-SA"/>
        </w:rPr>
        <w:t>و نزيدك هاهنا إيضاحاً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تلك العناوين و لا شي‌ء منها في لسان دليل أو معقد إجماع، حتّى</w:t>
      </w:r>
    </w:p>
    <w:p>
      <w:pPr>
        <w:pStyle w:val="BookText"/>
        <w:rPr/>
      </w:pPr>
      <w:r>
        <w:rPr>
          <w:rFonts w:ascii="Amiri" w:hAnsi="Amiri" w:eastAsia="Amiri" w:cs="Amiri"/>
          <w:color w:val="111111"/>
          <w:sz w:val="28"/>
          <w:sz w:val="28"/>
          <w:szCs w:val="28"/>
          <w:rtl w:val="true"/>
          <w:lang w:bidi="ar-SA"/>
        </w:rPr>
        <w:t xml:space="preserve">نبحث فيها و في حدودها، و إنّما هي اصطلاحات في لسان الاصوليّين </w:t>
      </w:r>
      <w:r>
        <w:rPr>
          <w:rStyle w:val="FootnoteAnchor"/>
          <w:rtl w:val="true"/>
        </w:rPr>
        <w:footnoteReference w:id="438"/>
      </w:r>
      <w:r>
        <w:rPr>
          <w:rFonts w:ascii="Amiri" w:hAnsi="Amiri" w:eastAsia="Amiri" w:cs="Amiri"/>
          <w:color w:val="111111"/>
          <w:sz w:val="28"/>
          <w:sz w:val="28"/>
          <w:szCs w:val="28"/>
          <w:rtl w:val="true"/>
          <w:lang w:bidi="ar-SA"/>
        </w:rPr>
        <w:t xml:space="preserve">، و بعضها في ألسنة مُتأخّري المُتأخّرين </w:t>
      </w:r>
      <w:r>
        <w:rPr>
          <w:rStyle w:val="FootnoteAnchor"/>
          <w:rtl w:val="true"/>
        </w:rPr>
        <w:footnoteReference w:id="439"/>
      </w:r>
      <w:r>
        <w:rPr>
          <w:rFonts w:ascii="Amiri" w:hAnsi="Amiri" w:eastAsia="Amiri" w:cs="Amiri"/>
          <w:color w:val="111111"/>
          <w:sz w:val="28"/>
          <w:sz w:val="28"/>
          <w:szCs w:val="28"/>
          <w:rtl w:val="true"/>
          <w:lang w:bidi="ar-SA"/>
        </w:rPr>
        <w:t xml:space="preserve">، و قد جعلها الشيخ الأعظم تحت الضابط، و تعرَّض لها في شتات إفاداته، خصوصاً في أوّل باب التعادل و التراجيح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نرى أنَّ العقلاء و أرباب المحاورات قد يُقدّمون دليلًا على دليل من غير ملاحظة النسبة بينهما، و من غير ملاحظة أظهريّة أحدهما من الآخر، و قد يتوقّفون في تقديم أحد الدليلين، مع كون النسبة بينهما كالسابقة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في دليل 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الدليلان على أهل المحاورات و العرف لرأيتهم يتوقّفون في الحكم، و لا يحاولون ترجيح أحدهما على الآخر، و لو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إكرام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أردت إكرام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حكمت بإكرامهم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جعلت 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صلاح في 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منظوري 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الفسّاق أهلًا للإكرام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إكرامهم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بإكرامهم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أمثالها تصير تلك الألسنة قرينة على صرف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وجوب إكرام الفساق منهم، مع أنَّ النسبة بينه و بينها عموم من وجه، و لا فرق بين ما ذكر و بين ما تقدّم إلّا في كيفيّة التأدية و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قوله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لا سهو لمن أقرَّ على نفسه بالسهو</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1"/>
      </w:r>
      <w:r>
        <w:rPr>
          <w:rFonts w:ascii="Amiri" w:hAnsi="Amiri" w:eastAsia="Amiri" w:cs="Amiri"/>
          <w:color w:val="111111"/>
          <w:sz w:val="28"/>
          <w:sz w:val="28"/>
          <w:szCs w:val="28"/>
          <w:rtl w:val="true"/>
          <w:lang w:bidi="ar-SA"/>
        </w:rPr>
        <w:t>بالنسبة إلى أدلّة الشكوك،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Style w:val="FootnoteAnchor"/>
          <w:rtl w:val="true"/>
        </w:rPr>
        <w:footnoteReference w:id="44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يُرِيدُ بِكُمُ الْعُسْرَ</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بالنسبة إلى أدلّة الأحكام، مع أنَّ النسبة بينهما عموم من وجه، و ليس هذا النحو من التقديم بلحاظ مقام الظهور، و ترجيح الأظهر على الظاهر، أو النص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التقديم الظهوريّ الذي يكون معوّلًا عليه عند العقلاء يكون ترجيح و تقديم آخر، و هو أن يكون أحد الدليلين بمدلوله مُتعرّضاً لحيثيّة من حيثيّات الدليل الآخر التي لم يتعرّضها 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الدليلين إمّا أن يكون كلّ منهما مُتعرّضاً بمدلوله لما يتعرّضه الدليل الآخر، و يكون الفرق بينهما بعد اشتراكهما في ذلك في جهات اخر، كالإيجاب و السلب،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أخصيّة أحدهما من الآخر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كون النسبة عموماً من وجه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كاختلافهما في زيادة قيد مع الاتفاق في الكيف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فأعتق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ظاهرت فأعتق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تلك الموارد ترى أنَّ كلًاّ من الدليلين يتعرّض لما يتعرّضه الآخر، فكما أنَّ أحدهما تعرّض لوجوب إكرام العلماء، تعرّض الآخر لعدم وجوب إكرامهم، و كما أنَّ أحدهما تعرّض لعتق رقبة، تعرّض الآخر لعدم عتق كافرتها، أو لعتق مؤمنتها، فالمدلول اللّفظيّ لأحدهما هو المدلول للآخر، مع اختلاف في الكيف أو في زيادة فيه أو مثلهما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 في الأدلّة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التصادم بينهما في مرحلة الظهور، مع اتحادهما في جميع المراحل من الاصول العُقلائيّة، فإذا كان الدليلان كذلك يكون تقديم أحدهما على الآخر تقديماً ظهوريّاً، و مناطه أظهريّة أحدهما من الآخر، فتقديم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w:t>
      </w:r>
    </w:p>
    <w:p>
      <w:pPr>
        <w:pStyle w:val="BookText"/>
        <w:rPr/>
      </w:pPr>
      <w:r>
        <w:rPr>
          <w:rFonts w:ascii="Amiri" w:hAnsi="Amiri" w:eastAsia="Amiri" w:cs="Amiri"/>
          <w:color w:val="111111"/>
          <w:sz w:val="28"/>
          <w:sz w:val="28"/>
          <w:szCs w:val="28"/>
          <w:rtl w:val="true"/>
          <w:lang w:bidi="ar-SA"/>
        </w:rPr>
        <w:t>الفسّاق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من جهة تقديم الأظهر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جميع الاصول اللّفظية كأصالة العموم و أصالة الإطلاق و أصالة الحقيقة ترجع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 التحقيق أنَّ الإطلاق ليس ظهوراً لفظيّاً، و لا تقدّم المقيّد على المطلق من قيل تقدّم الأظهر على الظاهر،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مناط تقدّم الخاص على العام ليست الأظهرية، بل شي‌ء آخر سنشير إليه في بعض المباحث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 سرّه</w:t>
      </w:r>
    </w:p>
    <w:p>
      <w:pPr>
        <w:pStyle w:val="BookText"/>
        <w:rPr/>
      </w:pPr>
      <w:r>
        <w:rPr>
          <w:rFonts w:ascii="Amiri" w:hAnsi="Amiri" w:eastAsia="Amiri" w:cs="Amiri"/>
          <w:color w:val="111111"/>
          <w:sz w:val="28"/>
          <w:sz w:val="28"/>
          <w:szCs w:val="28"/>
          <w:rtl w:val="true"/>
          <w:lang w:bidi="ar-SA"/>
        </w:rPr>
        <w:t>أ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رسالة التعادل و الترجيح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أصالة الظهور عند العقلاء، فما هو المُعتبر عندهم و الحُجّة لديهم هو الظهور اللّفظيّ،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لظهوره في العموم بعد تحقّق المُقدّمات الاخرى من الاصول العُقلائيّة، و ليس ظهوره مُعلّقاً على عدم مجي‌ء المُخصّص، بل ظهوره منجّز، و بناء العُقلاء على العمل به من غير تعليقه على شي‌ءٍ، و لكن مع ورود دليل أخصّ منه يقدّم مُقتضاه عليه؛ لقوّة ظهوره و أظهريّته من ظهور العامّ في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المُطلق و المُقيّد، فإنَّ مناط تقديمه على المُطلق ليس إلّا أقوائيّة ظهور القيد في القيديّة من المُطلق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مناط تقديم الخاصّ على العامّ هو الحكومة أو الورود؛ فإنَّ أصالة الحقيقة أو العموم مُعتبرة إذا لم تعلم هناك قرينة على المجاز، و المُخصّص القطعيّ وارد على اصالة العموم، و المُخصّص الظنّي حاكم عليها؛ لأنَّ معنى حجّية الظنّ جعل احتمال مخالفة مؤدّاه للواقع بمنزلة العدم في عدم ترتّب ما كان يترتّب عليه من الامور لو لا حجّية هذه الأمارة، و هو وجوب العمل بالعموم عند احتمال وجود المُخصّص و عدمه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يكون الخاصّ الظنّي وارداً بناءً على كون العمل بالظاهر عرفاً و شرعاً مُعلّقاً على عدم التعبّد بالتخصيص </w:t>
      </w:r>
      <w:r>
        <w:rPr>
          <w:rStyle w:val="FootnoteAnchor"/>
          <w:rtl w:val="true"/>
        </w:rPr>
        <w:footnoteReference w:id="44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bookmarkStart w:id="357" w:name="pg2245_12963"/>
    </w:p>
    <w:p>
      <w:pPr>
        <w:pStyle w:val="BookText"/>
        <w:rPr/>
      </w:pPr>
      <w:bookmarkEnd w:id="357"/>
      <w:r>
        <w:rPr>
          <w:rFonts w:ascii="Amiri" w:hAnsi="Amiri" w:eastAsia="Amiri" w:cs="Amiri"/>
          <w:color w:val="111111"/>
          <w:sz w:val="28"/>
          <w:sz w:val="28"/>
          <w:szCs w:val="28"/>
          <w:rtl w:val="true"/>
          <w:lang w:bidi="ar-SA"/>
        </w:rPr>
        <w:t>منظور فيه؛ لأنَّ مناط العمل بالظواهر و الاحتجاج عند العقلاء هو نفس الظهور، فأصالة الإطلاق و العموم و الحقيقة ليست اصولًا مُتكثّرة بمناطات مُختلفة، بل المناط هو الظهور، فإذا كان الظهور ظنّياً يلغى احتمال خلافه عند العقلاء، من غير فرق بين العامّ و الخاصّ، فالعامّ الظنّي كالخاصّ الظنّي يلغى احتمال خلافه، و ليس ظهور العامّ أو البناء على العمل به مُعلّقاً على شي‌ءٍ، بل يكون تقديم الخاص على العامّ من قبيل تقديم أقوى الدليلين و أظهر الظاهرين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الحال في تقديم المُقيّد على المُطلق، و قرينة المجاز على ذيها، و ليس مناط الحكومة في شي‌ءٍ من ذلك، كما سيتّضح لك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تصادم الدليلين في الظهور مع تعرّض كلّ منهما لما يتعرّضه الآخر مقسم للتخصيص و التقييد و تقديم قرينة المجاز، و كذا لتقديم أحد المُتباينين و العامّين من وجه على شقيقه لو فرض أظهريّته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التصادم و التقديم الظهوريّين</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614139_3804643083"/>
      <w:bookmarkStart w:id="359" w:name="_Toc130"/>
      <w:bookmarkEnd w:id="358"/>
      <w:r>
        <w:rPr>
          <w:rtl w:val="true"/>
        </w:rPr>
        <w:t>بيان ضابط الحكومة</w:t>
      </w:r>
      <w:bookmarkEnd w:id="359"/>
    </w:p>
    <w:p>
      <w:pPr>
        <w:pStyle w:val="BookText"/>
        <w:rPr/>
      </w:pPr>
      <w:r>
        <w:rPr>
          <w:rFonts w:ascii="Amiri" w:hAnsi="Amiri" w:eastAsia="Amiri" w:cs="Amiri"/>
          <w:color w:val="111111"/>
          <w:sz w:val="28"/>
          <w:sz w:val="28"/>
          <w:szCs w:val="28"/>
          <w:rtl w:val="true"/>
          <w:lang w:bidi="ar-SA"/>
        </w:rPr>
        <w:t>و أمّا ضابط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يتعرّض أحد الدليلين بنحو من التعرّض و لو بالملازمة العُرفيّة أو العقليّة لحيثيّة من حيثيات الآخر ممّا لا يتعرض لها ذلك كان التعرّض لموضوعه أو محموله أو متعلّقه، أو المراحل السابقة على الحكم أو اللّاحقة 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ذلك مُتعرّضاً إلّا لوجوب إكرام كلّ عالم، و لا يتعرّض لشي‌ءٍ آخر سواه، فلم يتعرّض لتحقّق موضوعه، أو دخول فرد فيه،</w:t>
      </w:r>
    </w:p>
    <w:p>
      <w:pPr>
        <w:pStyle w:val="BookText"/>
        <w:rPr/>
      </w:pPr>
      <w:r>
        <w:rPr>
          <w:rFonts w:ascii="Amiri" w:hAnsi="Amiri" w:eastAsia="Amiri" w:cs="Amiri"/>
          <w:color w:val="111111"/>
          <w:sz w:val="28"/>
          <w:sz w:val="28"/>
          <w:szCs w:val="28"/>
          <w:rtl w:val="true"/>
          <w:lang w:bidi="ar-SA"/>
        </w:rPr>
        <w:t>أو عدم دخوله فيه، و لا لحدود مُتعلّقه و حكمه، و لا لكونه مُراداً أو مجعولًا أو صادراً على نحو الجدّ أو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للجهات المُتقدّمة على الحكم و المُتأخّرة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تعرّض دليل لشي‌ءٍ من تلك الحيثيّات يكون مُقدّماً لدى العقلاء من غير ملاحظة النسبة بينهما، و لا لحاظ أظهريّة أحدهما من الآخر، فلو تعرّض أحد الدليلين لتوسعة دائرة موضوع الآخر أو تضييقه أو لحدود محموله أو مُتعلّقه أو حكمه يكون مُقدّماً و حاكماً عليه،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لمن أقرّ على نفسه بالسهو</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بالنسبة إلى أدلّة الشكوك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من أبواب الخلل الواقع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الضيافة 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حاكم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لتعرّضه لما لا يتعرّض له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حاكم على أدلّة الأحكام؛ لتعرّضه بمدلوله للجعل الذي لا تتعرّض له الأدلّة، و إن كانت مجعولة بالضرورة؛ لأنّها لمّا لم تتعرَّض لمجعوليّتها فإذا تعرّض له الأدلّة، و إن كانت مجعولة بالضرورة؛ لأنّها لمّا لم تتعرّض لمجعوليّتها فإذا تعرّض دليل بأنَّ الجعل لم يتعلّق بأمرٍ حرجيّ يقدّم عرفاً على تلك الأدلّة، لا لأقوائيّة ظهوره، بل هذا نحو آخر من التقدّم في مقابل التقدّم الظهوريّ، و لهذا لا تلاحظ النسبة بين الدليلين، فيقدّم العامّ من وجه على مُعارضه، فأدنى الظواهر يقدّم على أقواها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 دليل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اريد إكرام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حكمت بإكرامهم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مقدّماً عليه من غير لحاظ النسبة و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إلّا لتعرض الحاكم لما لا يتعرّض له الآخر؛ فإنَّ الدليل المحكوم ليس بمدلوله مُتعرّضاً لكون إكرامهم مُراداً أو مجعولًا أو محكوماً به، فإنَّها معلومة من الخارج، أو لأجل الأصل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القبيل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على أدلّة الأجزاء و الشرائط؛ لأنّها لا تتعرّض للحيثيّات اللّاحقة، أي الإعادة و اللّاإعادة، و إنّما يحكم العقل بأنَّ التارك للجزء أو الشرط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حكومة دليل على دليل قد تكون تخصيصاً،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الفسّاق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خروج حُكميّ بلسان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تقييداً، كتقدّم دليل رفع الحرج على إطلاق أدلّة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توسعة في الحكم بلسان توسعة الموضوع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p>
    <w:p>
      <w:pPr>
        <w:pStyle w:val="BookText"/>
        <w:rPr/>
      </w:pP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وروداً، كتقدّم أدلّة الاستصحاب على أدلّة الاصول الشرعيّة، بناءً على كون المُراد من العلم الذي اخذ غاية في أدلّتها هو الحُجّة في مقابل اللّاحُجّة، فإنَّ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على أدلّتها؛ لأنَّ لسانه بقاء اليقين و إطالة عمره، فيكون مُتعرّضاً لتحقّق العلم الذي جعل غاية للُاصول، و أدلّة الاصول ليست مُتعرّضة لذلك، فيكون حاكماً عليها، و نتيجة حكومته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من العلم هو العلم الوجدانيّ يكون دليل الاستصحاب حاكماً عليها، و نتيجته إعدام الموضوع تعبّداً و حكماً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فالورود و التخصيص و التقييد و غيرها كثيراً ما تكون من نتائج الحكومة و ثمراتها،</w:t>
      </w:r>
    </w:p>
    <w:p>
      <w:pPr>
        <w:pStyle w:val="BookText"/>
        <w:rPr/>
      </w:pPr>
      <w:r>
        <w:rPr>
          <w:rFonts w:ascii="Amiri" w:hAnsi="Amiri" w:eastAsia="Amiri" w:cs="Amiri"/>
          <w:color w:val="111111"/>
          <w:sz w:val="28"/>
          <w:sz w:val="28"/>
          <w:szCs w:val="28"/>
          <w:rtl w:val="true"/>
          <w:lang w:bidi="ar-SA"/>
        </w:rPr>
        <w:t>و ليس الورود في عَرْضها؛ فإنَّ حيثيّة تقدّم دليل على دليل آخر ليست إلّا على نحوين،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الظهوريّ،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على وجه الحكومة سواء كانت نتيجتها رفع الموضوع حكماً، أو رفعه حقيقة، فالورود ليس من أنحاء تقديم دليل لفظيّ على دليل آخر في مقابل التخصيص 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تقدّم دليل على آخر بين التقدّم الظهوريّ و على نحو الحكومة حاصر دائر بين النفي و الإثبات، فلا يُعقل قسم آخر في الأدلّة اللّفظية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 الدليلين إمّا أن يتعرّض لما يتعرّض له الدليل الآخر، أو يتعرّض لما لا يتعرّض له، و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ثالث، هو عدم التعرّض رأساً، و هو خارج عن المقسم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فأدلّة الأمارات بناءً على أخذها من الأدلّة اللّفظية حاكمة على أدلّة الاصول و الاستصحاب؛ لأنَّ مفادها التصرّف في موضوعها إعداماً، و هي حيثيّة لا تتعرّض لها تلك الأدلّة، فنتائج الحكومة امور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كالتخصيص، و التقييد، و الورود، و إعدام الموضوع تعبّداً، أو إيجاده كذلك، و توسعة دائرة الموضوع حكماً، أو الحكم على عكس التخصيص و التقييد، فالورود ليس من أنحاء التقديم في الأدلّة اللّفظيّة، و لا مشاحّة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بتسمية تقديم بعض الأدلّة اللّبّية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كتقدّم بناء العقلاء على العمل بخبر الثقة على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بالورود، كما أنَّه لا بأس بتسمية تقدّم بعض الأدلّة اللفظيّة كأدلّة الأمارات و الاستصحاب على قبح العقاب بلا بيان بالورود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التخصيص و الحكومة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تقسيم الحكومة إلى الظاهريّة و الواقعيّة كما صنعه بعض أعاظم العصر</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فممّا لا ملاك له كما لا يخفى؛ لأنَّ تقديم دليل على دليل آخر إذا كان على نحو الحكومة و تحت الضابط المُتقدّم فلا يكون مُختلفاً حتى يكون التقسيم صحيحاً، و اختلاف النتيجة لا يصحّح التقسيم، فتقدّم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أدلّة الشكوك كتقدّم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أدلّة الاصول، و تقدّم مفهوم آية النبأ</w:t>
      </w:r>
      <w:r>
        <w:rPr>
          <w:rStyle w:val="FootnoteAnchor"/>
          <w:rtl w:val="true"/>
        </w:rPr>
        <w:footnoteReference w:id="454"/>
      </w:r>
      <w:r>
        <w:rPr>
          <w:rFonts w:ascii="Amiri" w:hAnsi="Amiri" w:eastAsia="Amiri" w:cs="Amiri"/>
          <w:color w:val="111111"/>
          <w:sz w:val="28"/>
          <w:sz w:val="28"/>
          <w:szCs w:val="28"/>
          <w:rtl w:val="true"/>
          <w:lang w:bidi="ar-SA"/>
        </w:rPr>
        <w:t>عليها من حيث تعرّض الأدلّة الحاكمة لما لا تتعرَّض له الأدلّة المقابلة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نحو تقدّم الأدلّة الحاكمة في الأحكام الواقعيّة مُخالفاً لنحو تقدّم الأدلّة الحاكمة في الأحكام الظاهريّة حتّى يصحّ التقسيم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بصرف عنان الكلام إلى حال أدلّة الاستصحاب مع سائر الأدلّة، و الأدلّة بعضها مع بعض</w:t>
      </w:r>
      <w:r>
        <w:rPr>
          <w:rFonts w:eastAsia="Amiri" w:cs="Amiri" w:ascii="Amiri" w:hAnsi="Amiri"/>
          <w:color w:val="111111"/>
          <w:sz w:val="28"/>
          <w:szCs w:val="28"/>
          <w:rtl w:val="true"/>
          <w:lang w:bidi="ar-SA"/>
        </w:rPr>
        <w:t>.</w:t>
      </w:r>
      <w:bookmarkStart w:id="360" w:name="pg2245_12973"/>
    </w:p>
    <w:p>
      <w:pPr>
        <w:pStyle w:val="Heading2"/>
        <w:numPr>
          <w:ilvl w:val="1"/>
          <w:numId w:val="1"/>
        </w:numPr>
        <w:rPr/>
      </w:pPr>
      <w:bookmarkStart w:id="361" w:name="__RefHeading___Toc1614141_3804643083"/>
      <w:bookmarkStart w:id="362" w:name="_Toc131"/>
      <w:bookmarkEnd w:id="360"/>
      <w:bookmarkEnd w:id="361"/>
      <w:r>
        <w:rPr>
          <w:rtl w:val="true"/>
        </w:rPr>
        <w:t>حال أدلّة الاستصحاب مع سائر الأدلّة و الأدلّة بعضها مع بعض</w:t>
      </w:r>
      <w:bookmarkEnd w:id="362"/>
    </w:p>
    <w:p>
      <w:pPr>
        <w:pStyle w:val="Heading3"/>
        <w:numPr>
          <w:ilvl w:val="2"/>
          <w:numId w:val="1"/>
        </w:numPr>
        <w:rPr/>
      </w:pPr>
      <w:bookmarkStart w:id="363" w:name="__RefHeading___Toc1614143_3804643083"/>
      <w:bookmarkStart w:id="364" w:name="_Toc132"/>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و يقع الكلام فيها في مقامات</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614145_3804643083"/>
      <w:bookmarkStart w:id="366" w:name="_Toc133"/>
      <w:bookmarkEnd w:id="365"/>
      <w:r>
        <w:rPr>
          <w:rtl w:val="true"/>
        </w:rPr>
        <w:t>المقام الأوّل في حال أدلّة الاستصحاب مع أدلّة الأمارات</w:t>
      </w:r>
      <w:bookmarkEnd w:id="36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ذكرنا في مبحث استصحاب مؤدّى الأمارات </w:t>
      </w:r>
      <w:r>
        <w:rPr>
          <w:rStyle w:val="FootnoteAnchor"/>
          <w:rtl w:val="true"/>
        </w:rPr>
        <w:footnoteReference w:id="455"/>
      </w:r>
      <w:r>
        <w:rPr>
          <w:rFonts w:ascii="Amiri" w:hAnsi="Amiri" w:eastAsia="Amiri" w:cs="Amiri"/>
          <w:color w:val="111111"/>
          <w:sz w:val="28"/>
          <w:sz w:val="28"/>
          <w:szCs w:val="28"/>
          <w:rtl w:val="true"/>
          <w:lang w:bidi="ar-SA"/>
        </w:rPr>
        <w:t>أنَّ المُستفاد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بمناسبة الحكم و الموضوع و بعض المُؤيّدات الخارجيّة و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خصوصيّة لليقين، و يكون المُراد منها أنَّه لا تنتقض الحُجّة بغير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بمعنى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استعملا في الحُجّة و غير الحُجّة؛ فإنَّه واضح البطلان، بل هما مُستعملان في معناهما، لكنّ العرف لا يرى لخصوصيّة العنوان دخالة في الحكم، كما أنَّ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شكّ بين الثلاث و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الرجل مُستعملًا في مُطلق المُكلّف، بل العرف يُلغي خصوصيّة الرجل، و يرى أنَّ ذكره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تقدّم أدلّة حُجّية خبر الثقة على أدلّة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أخذها من الأدلّة اللّفظية مثل مفهوم آية النبأ، و 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يؤدّي عنّي فعنّي يؤدّي</w:t>
      </w:r>
      <w:r>
        <w:rPr>
          <w:rFonts w:eastAsia="Amiri" w:cs="Amiri" w:ascii="Amiri" w:hAnsi="Amiri"/>
          <w:color w:val="111111"/>
          <w:sz w:val="28"/>
          <w:szCs w:val="28"/>
          <w:rtl w:val="true"/>
          <w:lang w:bidi="ar-SA"/>
        </w:rPr>
        <w:t>)</w:t>
      </w:r>
    </w:p>
    <w:p>
      <w:pPr>
        <w:pStyle w:val="BookText"/>
        <w:rPr/>
      </w:pP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الحكومة على إشكال، و نتيجتها الورود؛ لأنَّ مفاد أدلّة حُجّية الخبر و لو التزاماً إلغاء الشكّ؛ فإنَّ مفهوم الآية بناءً على المفهوم أنَّ نبأ العادل لا يتبيّن لكونه مُتبيّناً، و ليس العمل به إصابة للقوم بجهالة، و هو رافع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حُجّية خبر الثقة ليس إلّا بناء العُقلاء و سيرتهم على العمل به، و الأدلّة اللّفظية كلّها إرشادات إليها 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فتقدّمها على الاستصحاب يكون بالتخصّص أو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هذا في الحقيقة ليس تقدّماً؛ لأنَّ الخروج الموضوعيّ ليس من التقدّم، لأنَّ العُقلاء لا يرون العمل بخبر الثقة عملًا بغير الحُجّة، فلا يكون العمل على طبق الأمارة نقضاً لليقين بالشكّ لديهم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اشتهيت أن تُسمّي هذا النحو من التقدّم وروداً ببعض المُناسبات فلا مشاحّة فيه، و ممّا ذكرنا يظهر حال سائر الأمارات</w:t>
      </w:r>
      <w:r>
        <w:rPr>
          <w:rFonts w:eastAsia="Amiri" w:cs="Amiri" w:ascii="Amiri" w:hAnsi="Amiri"/>
          <w:color w:val="111111"/>
          <w:sz w:val="28"/>
          <w:szCs w:val="28"/>
          <w:rtl w:val="true"/>
          <w:lang w:bidi="ar-SA"/>
        </w:rPr>
        <w:t>.</w:t>
      </w:r>
      <w:bookmarkStart w:id="367" w:name="pg2245_12976"/>
    </w:p>
    <w:p>
      <w:pPr>
        <w:pStyle w:val="Heading3"/>
        <w:numPr>
          <w:ilvl w:val="2"/>
          <w:numId w:val="1"/>
        </w:numPr>
        <w:rPr/>
      </w:pPr>
      <w:bookmarkStart w:id="368" w:name="__RefHeading___Toc1614147_3804643083"/>
      <w:bookmarkStart w:id="369" w:name="_Toc134"/>
      <w:bookmarkEnd w:id="367"/>
      <w:bookmarkEnd w:id="368"/>
      <w:r>
        <w:rPr>
          <w:rtl w:val="true"/>
        </w:rPr>
        <w:t>المقام الثاني وجه تقدّم الأمارات على أدلّة البراءة الشرعيّة</w:t>
      </w:r>
      <w:bookmarkEnd w:id="369"/>
    </w:p>
    <w:p>
      <w:pPr>
        <w:pStyle w:val="BookText"/>
        <w:rPr/>
      </w:pPr>
      <w:r>
        <w:rPr>
          <w:rFonts w:ascii="Amiri" w:hAnsi="Amiri" w:eastAsia="Amiri" w:cs="Amiri"/>
          <w:color w:val="111111"/>
          <w:sz w:val="28"/>
          <w:sz w:val="28"/>
          <w:szCs w:val="28"/>
          <w:rtl w:val="true"/>
          <w:lang w:bidi="ar-SA"/>
        </w:rPr>
        <w:t>و هو الحكومة إن كان التمسّك في الأمارات بالأدلّة اللّفظيّة؛ لأنَّ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p>
    <w:p>
      <w:pPr>
        <w:pStyle w:val="BookText"/>
        <w:rPr/>
      </w:pPr>
      <w:r>
        <w:rPr>
          <w:rStyle w:val="FootnoteAnchor"/>
          <w:rtl w:val="true"/>
        </w:rPr>
        <w:footnoteReference w:id="45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w:t>
      </w:r>
    </w:p>
    <w:p>
      <w:pPr>
        <w:pStyle w:val="BookText"/>
        <w:rPr/>
      </w:pPr>
      <w:r>
        <w:rPr>
          <w:rStyle w:val="FootnoteAnchor"/>
          <w:rtl w:val="true"/>
        </w:rPr>
        <w:footnoteReference w:id="458"/>
      </w:r>
      <w:r>
        <w:rPr>
          <w:rFonts w:ascii="Amiri" w:hAnsi="Amiri" w:eastAsia="Amiri" w:cs="Amiri"/>
          <w:color w:val="111111"/>
          <w:sz w:val="28"/>
          <w:sz w:val="28"/>
          <w:szCs w:val="28"/>
          <w:rtl w:val="true"/>
          <w:lang w:bidi="ar-SA"/>
        </w:rPr>
        <w:t>محكوم بمفهوم آية النبأ و سائر الأدلّة؛ لأنَّ مفادها إلغاء الشكّ، فتعرَّض لموضوع أدلّة البراءة، و هي لا تتعرّض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ممّا لا يعلم هو عدم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نتيجة الحكومة هي الورود، و إلّا تكون النتيجة إعدام الموضوع تشريعاً و تعبّداً، و التخصيص لبّاً، و هو من أقسام الحكومة، كما عرفت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1614149_3804643083"/>
      <w:bookmarkStart w:id="371" w:name="_Toc135"/>
      <w:bookmarkEnd w:id="370"/>
      <w:r>
        <w:rPr>
          <w:rtl w:val="true"/>
        </w:rPr>
        <w:t>المقام الثالث وجه تقدّم أدلّة الاستصحاب على أدلّة الحلّ و البراءة الشرعيّتين</w:t>
      </w:r>
      <w:bookmarkEnd w:id="371"/>
    </w:p>
    <w:p>
      <w:pPr>
        <w:pStyle w:val="BookText"/>
        <w:rPr/>
      </w:pPr>
      <w:r>
        <w:rPr>
          <w:rFonts w:ascii="Amiri" w:hAnsi="Amiri" w:eastAsia="Amiri" w:cs="Amiri"/>
          <w:color w:val="111111"/>
          <w:sz w:val="28"/>
          <w:sz w:val="28"/>
          <w:szCs w:val="28"/>
          <w:rtl w:val="true"/>
          <w:lang w:bidi="ar-SA"/>
        </w:rPr>
        <w:t>هو الحكومة و نتيجتها الورود؛ لأنَّ مفاد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عرفت إطالة عمر اليقين تعبّداً، و أنَّ الشكّ لا أهليّة له لنقضه، فيكون اليقين غير منقوض و باقياً تعبّداً، و هذا من أظهر أنحاء الحكومة، و أمّا كون النتيجة هي الورود فلما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الحُجّة، لا عدم العلم وجداناً، و إن كان مفاد الأدلّة إلغاء الشكّ حكماً و التعبّد بعدم الاعتناء به، فتكون حاكمة أيضاً على ما جعل الحكم على عنوان الشكّ و عدم العلم و إن كان مفادها عدم نقض الحُجّة بلا حُجّة فتكون حاكمة</w:t>
      </w:r>
    </w:p>
    <w:p>
      <w:pPr>
        <w:pStyle w:val="BookText"/>
        <w:rPr/>
      </w:pPr>
      <w:r>
        <w:rPr>
          <w:rFonts w:ascii="Amiri" w:hAnsi="Amiri" w:eastAsia="Amiri" w:cs="Amiri"/>
          <w:color w:val="111111"/>
          <w:sz w:val="28"/>
          <w:sz w:val="28"/>
          <w:szCs w:val="28"/>
          <w:rtl w:val="true"/>
          <w:lang w:bidi="ar-SA"/>
        </w:rPr>
        <w:t>أيضاً؛ لأنَّ المُراد بعدم الحُجّة في مُقابل الحُجّة هو عدم الحُجّة على الواقع، و قد مرّ أنَّ المُراد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أدلّة البراءة هو ما لم تقم حُجّة على الواقع، فغاية الاصول عدم قيام الحُجّة على الواقع، و مفاد أدلّة الاستصحاب بقاء الحُجّة قبل قيام حُجّة على الواقع، فإنَّ معنى عدم نقض الحُجّة بغير الحُجّة عرفاً هو بقاء حُجّيته إلى قيام حُجّة على الواقع، فأدلّة الاستصحاب بلسانها حاكمة على حصول غاية أدلّة الاصول، و أمّا أدلّة الاصول فلم يكن مفادها إلّا تعيين الوظيفة عند عدم قيام الحُجّة لا جعل الحُجّة على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الشيخ الأعظم في وجه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دليل الاستصحاب بمنزلة مُعمّم للنهي السابق بالنسبة إلى الزمان اللّاحق، فمجموع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p>
    <w:p>
      <w:pPr>
        <w:pStyle w:val="BookText"/>
        <w:rPr/>
      </w:pPr>
      <w:r>
        <w:rPr>
          <w:rStyle w:val="FootnoteAnchor"/>
          <w:rtl w:val="true"/>
        </w:rPr>
        <w:footnoteReference w:id="460"/>
      </w:r>
      <w:r>
        <w:rPr>
          <w:rFonts w:ascii="Amiri" w:hAnsi="Amiri" w:eastAsia="Amiri" w:cs="Amiri"/>
          <w:color w:val="111111"/>
          <w:sz w:val="28"/>
          <w:sz w:val="28"/>
          <w:szCs w:val="28"/>
          <w:rtl w:val="true"/>
          <w:lang w:bidi="ar-SA"/>
        </w:rPr>
        <w:t>و دليل الاستصحاب بمنزلة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 و كلّ نهي ورد في شي‌ءٍ فلا بدّ من تعميمه لجميع أزمنة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الإطلاق مغيّا بورود النهي المحكوم عليه بالدوام، فأدلّة الاستصحاب حاكمة عليه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خصوصاً على مسلكه مُتقدّمة بلسان الدليل، فحينئذٍ لا يتمّ ما ذكره إلّا بدعوى أنَّ مفاد أدلّة الاستصحاب عدم نقض المُتيقّن، بل لا يكفي ذلك حتّى يكون المُراد من المُتيقّن هو العناوين الذاتيّة الواقعيّة كالنهي و الأمر و الوجوب و الحرمة، و قد مرّ سابقاً</w:t>
      </w:r>
      <w:r>
        <w:rPr>
          <w:rStyle w:val="FootnoteAnchor"/>
          <w:rtl w:val="true"/>
        </w:rPr>
        <w:footnoteReference w:id="462"/>
      </w:r>
      <w:r>
        <w:rPr>
          <w:rFonts w:ascii="Amiri" w:hAnsi="Amiri" w:eastAsia="Amiri" w:cs="Amiri"/>
          <w:color w:val="111111"/>
          <w:sz w:val="28"/>
          <w:sz w:val="28"/>
          <w:szCs w:val="28"/>
          <w:rtl w:val="true"/>
          <w:lang w:bidi="ar-SA"/>
        </w:rPr>
        <w:t>الإشكال في كون المُراد من اليقين المُتيقّن، و لو سلّم ذلك لكن لا يمكن المساعدة معه في كون المُراد هو العناوين الأوّليّة تأمّل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ذلك لا يتمّ بالنسبة إلى سائر أدلّة البراءة و هو قدس سره كان مُتنبّهاً لذلك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الأدلّة النقليّة مُساوقاً لحكم العقل فقد اتضح أمره،</w:t>
      </w:r>
      <w:bookmarkStart w:id="372" w:name="pg2245_12981"/>
    </w:p>
    <w:p>
      <w:pPr>
        <w:pStyle w:val="BookText"/>
        <w:rPr/>
      </w:pPr>
      <w:bookmarkEnd w:id="372"/>
      <w:r>
        <w:rPr>
          <w:rFonts w:ascii="Amiri" w:hAnsi="Amiri" w:eastAsia="Amiri" w:cs="Amiri"/>
          <w:color w:val="111111"/>
          <w:sz w:val="28"/>
          <w:sz w:val="28"/>
          <w:szCs w:val="28"/>
          <w:rtl w:val="true"/>
          <w:lang w:bidi="ar-SA"/>
        </w:rPr>
        <w:t xml:space="preserve">و الاستصحاب وارد عليه </w:t>
      </w:r>
      <w:r>
        <w:rPr>
          <w:rStyle w:val="FootnoteAnchor"/>
          <w:rtl w:val="true"/>
        </w:rPr>
        <w:footnoteReference w:id="463"/>
      </w:r>
      <w:r>
        <w:rPr>
          <w:rFonts w:ascii="Amiri" w:hAnsi="Amiri" w:eastAsia="Amiri" w:cs="Amiri"/>
          <w:color w:val="111111"/>
          <w:sz w:val="28"/>
          <w:sz w:val="28"/>
          <w:szCs w:val="28"/>
          <w:rtl w:val="true"/>
          <w:lang w:bidi="ar-SA"/>
        </w:rPr>
        <w:t>، و لعلّ مُراده ما ذكرنا من بيان حكومة أدلّة الاستصحاب عليها، و إن كانت النتيجة الورود</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614151_3804643083"/>
      <w:bookmarkStart w:id="374" w:name="_Toc136"/>
      <w:bookmarkEnd w:id="373"/>
      <w:r>
        <w:rPr>
          <w:rtl w:val="true"/>
        </w:rPr>
        <w:t>المقام الرابع في تعارض الاستصحابين</w:t>
      </w:r>
      <w:bookmarkEnd w:id="374"/>
    </w:p>
    <w:p>
      <w:pPr>
        <w:pStyle w:val="Heading4"/>
        <w:numPr>
          <w:ilvl w:val="3"/>
          <w:numId w:val="1"/>
        </w:numPr>
        <w:rPr/>
      </w:pPr>
      <w:bookmarkStart w:id="375" w:name="__RefHeading___Toc1614153_3804643083"/>
      <w:bookmarkStart w:id="376" w:name="_Toc137"/>
      <w:bookmarkEnd w:id="375"/>
      <w:r>
        <w:rPr>
          <w:rtl w:val="true"/>
        </w:rPr>
        <w:t>القسم الأوّل في وجه تقدّم الاستصحاب السببيّ على المسببيّ</w:t>
      </w:r>
      <w:bookmarkEnd w:id="376"/>
    </w:p>
    <w:p>
      <w:pPr>
        <w:pStyle w:val="Heading5"/>
        <w:numPr>
          <w:ilvl w:val="4"/>
          <w:numId w:val="1"/>
        </w:numPr>
        <w:rPr/>
      </w:pPr>
      <w:bookmarkStart w:id="377" w:name="__RefHeading___Toc1614155_3804643083"/>
      <w:bookmarkStart w:id="378" w:name="_Toc138"/>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و لا بأس بالتعرّض لمطلق تعارض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أحد المُستصحبين إمّا أن يكون مُسبّباً عن الشكّ في الآخر، و إمّا أن يكون الشكّ في كليهما ناشئاً من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السببيّة و المُسبّبية لأجل للّزوم العقليّ أو العاديّ، كالشكّ في وجود المعلول للشكّ في وجود علّته، و كالشكّ في نبات لحية زيد لأجل الشكّ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تكون لأجل الجعل الشرعيّ، كالشكّ في طهارة الثوب المغسول بالماء المشكوك الكرّية؛ فإنَّه لو لا حكم الشارع بأنَّ الغسل بالكرّ مُوجب للطهارة لما صار أحد الشكّين سبباً للشكّ الآخر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السببيّة قد تكون بلا واسطة، كالشكّ في صحّة الطلاق عند رجلين شكّ في عدالتهما، و قد تكون مع الواسطة، كالشكّ في عدالتهما بالنسبة إلى الشكّ في لزوم تربّص ثلاثة قروء، فإنَّ الشكّ في عدالتهما سبب للشكّ في صحة الطلاق، و هو سبب للشكّ في لزوم التربّص، و قد تكون الوسائط كثيرة، و ستأتي </w:t>
      </w:r>
      <w:r>
        <w:rPr>
          <w:rStyle w:val="FootnoteAnchor"/>
          <w:rtl w:val="true"/>
        </w:rPr>
        <w:footnoteReference w:id="464"/>
      </w:r>
      <w:r>
        <w:rPr>
          <w:rFonts w:ascii="Amiri" w:hAnsi="Amiri" w:eastAsia="Amiri" w:cs="Amiri"/>
          <w:color w:val="111111"/>
          <w:sz w:val="28"/>
          <w:sz w:val="28"/>
          <w:szCs w:val="28"/>
          <w:rtl w:val="true"/>
          <w:lang w:bidi="ar-SA"/>
        </w:rPr>
        <w:t>أقسام ما إذا كان الشكّ في كليهما ناشئاً من أمر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في عدم تقدّم الأصل السببيّ على المُسببيّ إذا كانت السببيّة عقليّة أو عاديّة و سيأتي بيان وجهه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كانت السببيّة شرعيّة، سواءً كانت مع الواسطة أم لا، فسرّ تقدّم الأصل السببيّ يظهر من التنبيه على أمر قد أشرنا إليه سابقاً في باب الاصول المُثبتة</w:t>
      </w:r>
      <w:r>
        <w:rPr>
          <w:rStyle w:val="FootnoteAnchor"/>
          <w:rtl w:val="true"/>
        </w:rPr>
        <w:footnoteReference w:id="466"/>
      </w:r>
      <w:r>
        <w:rPr>
          <w:rFonts w:ascii="Amiri" w:hAnsi="Amiri" w:eastAsia="Amiri" w:cs="Amiri"/>
          <w:color w:val="111111"/>
          <w:sz w:val="28"/>
          <w:sz w:val="28"/>
          <w:szCs w:val="28"/>
          <w:rtl w:val="true"/>
          <w:lang w:bidi="ar-SA"/>
        </w:rPr>
        <w:t>، و هو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أن يكون متكفّلًا للآثار مع الواسطة حتّى الشرعيّة منها؛ لأنَّ الآثار مع الواسطة لا تكون آثار نفس المُستصحب بالضرورة، بل تكون أثر الأثر، و أثر أثر الأثر و هكذا، فأثر عدالة الشاهدين صحّةُ الطلاق عندهما، و لزوم تربّص ثلاثة قروء أثر صحّة الطلاق، لا أثر عدالة الشاهدين، فصحّة الطلاق إذا ثبتت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يترتّب عليها أثرها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 الحكم لا يمكن أن يوجد الموضوع و يترتّب عليه و لا يكون أثر الأثر مصداق نقض اليقين بالشكّ تعبّداً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تنقض قضيّة حقيقيّة تشملها، كما يجاب عن الشبهة في الأخبار</w:t>
      </w:r>
      <w:r>
        <w:rPr>
          <w:rStyle w:val="FootnoteAnchor"/>
          <w:rtl w:val="true"/>
        </w:rPr>
        <w:footnoteReference w:id="467"/>
      </w:r>
      <w:r>
        <w:rPr>
          <w:rFonts w:ascii="Amiri" w:hAnsi="Amiri" w:eastAsia="Amiri" w:cs="Amiri"/>
          <w:color w:val="111111"/>
          <w:sz w:val="28"/>
          <w:sz w:val="28"/>
          <w:szCs w:val="28"/>
          <w:rtl w:val="true"/>
          <w:lang w:bidi="ar-SA"/>
        </w:rPr>
        <w:t>مع الواسطة، فاستصحاب عدالة زيد لا يمكن أن يترتّب عليه إلّا آثار نفس العدالة، و أمّا آثار الآثار فتحتاج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الآثار على الاستصحابات الموضوعيّة ليس لأجل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الاستصحاب مُنقّح لموضوع كبرى شرعيّة مجعولة تعبّداً، فإذا ورد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الطلاق عند شاهدين 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فاستصحاب عدالتهما يُنقّح موضوع تلك الكبرى، فيحكم بصحّته من ضمّ صغرى تعبّدية إلى كبرى شرعيّة و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الْمُطَلَّقاتُ يَتَرَبَّصْنَ بِأَنْفُسِهِنَّ ثَلاثَةَ قُرُوءٍ</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يحرز موضوعه من ضمّ صغرى إلى</w:t>
      </w:r>
    </w:p>
    <w:p>
      <w:pPr>
        <w:pStyle w:val="BookText"/>
        <w:rPr/>
      </w:pPr>
      <w:r>
        <w:rPr>
          <w:rFonts w:ascii="Amiri" w:hAnsi="Amiri" w:eastAsia="Amiri" w:cs="Amiri"/>
          <w:color w:val="111111"/>
          <w:sz w:val="28"/>
          <w:sz w:val="28"/>
          <w:szCs w:val="28"/>
          <w:rtl w:val="true"/>
          <w:lang w:bidi="ar-SA"/>
        </w:rPr>
        <w:t xml:space="preserve">كبرى شرعيّة، فيحكم بأنَّ هذه مُطلّقة، و المُطلّقات يتربّصن ثلاثة قروء، فيجب على هذه التربّص، فإذا ورد جواز التزويج بعد التربّص يحرز موضوعه كذلك، فإذا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المُزوّجة يجب عليها إطاعة الزوج، و على الزوج النفقة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 الموضوع كما ذكر و هكذا فلا يكون الاستصحاب إلّا مُنقح موضوع الكبرى الشرعيّة الأوّلية، بل ليس مفاد الاستصحاب لزوم ترتيب الآثار حتّى أنَّ ترتّب الأثر الأوّل أيضاً يكون بضمّ الاستصحاب إلى الكبرى الشرعيّة المجعولة،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مفاده رتّب الأثر، بل مفاده إطالة عمر اليقين تعبّداً، و إحراز الموضوع الذي هو صاحب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بل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في الأحكام و الموضوعات إنّما هو بلسانٍ واحدٍ، مع أنَّ استصحاب الأحكام ليس معناه ترتيب الآثار، بل يكون الاستصحاب مُنقّحاً للحكم و مُثبتاً له تعبّداً، و كذلك استصحاب الموضوعات معناه تحقّقها تعبّداً، و بعد تحقّقها يترتّب عليها أثرها لأجل الكبرى المجعولة، فاستصحاب الكرّية ليس إلّا التعبّد باليقين بها أو بنفسها، و الكرّ موضوع للأثر الشرعيّ، فيترتّب عليه أثره بدليله لا بالاستصحاب، فإذا عرفت ذلك تتَّضح لك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حُجّية الاصول المُثبتة لعدم الكبرى الكلّية المُنطبقة على الموضوع المُستصحب، فاستصحاب حياة زيد يترتّب عليه لزوم نفقة زوجته؛ لأجل الكبرى المجعولة دون أثر طول لحيته؛ لعدم كبرى دلّت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كان حيّاً طالت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ترتّب الآثار الشرعيّة و لو مع ألف واسطة لما عرفت من أنَّ الاستصحاب ينقّح موضوع الكبرى التي في مبدأ السلسلة، ثمّ يُحرز موضوع الكبرى الثانية لأجل الكبرى الأولى و هكذا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تقدّم الأصل السببيّ على المُسبّبي، و هو أنَّ الأصل السببيّ يكون</w:t>
      </w:r>
    </w:p>
    <w:p>
      <w:pPr>
        <w:pStyle w:val="BookText"/>
        <w:rPr/>
      </w:pPr>
      <w:r>
        <w:rPr>
          <w:rFonts w:ascii="Amiri" w:hAnsi="Amiri" w:eastAsia="Amiri" w:cs="Amiri"/>
          <w:color w:val="111111"/>
          <w:sz w:val="28"/>
          <w:sz w:val="28"/>
          <w:szCs w:val="28"/>
          <w:rtl w:val="true"/>
          <w:lang w:bidi="ar-SA"/>
        </w:rPr>
        <w:t>حاكماً على الكبرى المجعولة التي تتكفّل الحكم الواقعيّ؛ بتنقيح موضوعه أو إعدامه بحسب اختلاف الاستصحابات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الدليل الاجتهاديّ المُنطبق على الصغرى المُستصحبة يقدّم على الأصل المُسبّبي بالحكومة التي نتيجتها الورود على وجه كما عرفت، فإذا ورد من الشرع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الثوب المغسول بالكرّ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الكرّ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الكرّية يكون مُنقّحاً لموضوعه و حاكماً عليه؛ لكونه مُتعرّضاً لموضوع الدليل الاجتهاديّ توسعة و تنقيحاً، و هو من أنحاء الحكومة كما عرفت </w:t>
      </w:r>
      <w:r>
        <w:rPr>
          <w:rStyle w:val="FootnoteAnchor"/>
          <w:rtl w:val="true"/>
        </w:rPr>
        <w:footnoteReference w:id="469"/>
      </w:r>
      <w:r>
        <w:rPr>
          <w:rFonts w:ascii="Amiri" w:hAnsi="Amiri" w:eastAsia="Amiri" w:cs="Amiri"/>
          <w:color w:val="111111"/>
          <w:sz w:val="28"/>
          <w:sz w:val="28"/>
          <w:szCs w:val="28"/>
          <w:rtl w:val="true"/>
          <w:lang w:bidi="ar-SA"/>
        </w:rPr>
        <w:t xml:space="preserve">، فينطبق عليه الدليل الاجتهاديّ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الثوب المغسول به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مُطهّر للثوب المغسول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طهارة ثوب مغسول به يكون الدليل الاجتهاديّ حاكماً بطهارته، و لا يعارضه استصحاب النجاسة؛ لكونه حاكماً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ماءان يكون أحدهما كرّاً بالوجدان، و الآخر بالاستصحاب يكون كلاهما مشمولين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 المغسول بالكرّ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أحدهما مصداقاً وجدانيّاً و الآخر مصداقاً تعبّدياً، فكما لا يجري استصحاب النجاسة مع الغسل بالكرّ وجداناً؛ لتقدّم الدليل الاجتهاديّ على الاستصحاب، كذلك لا يجري مع الغسل بما حكم بكرّيته بالأصل؛ لعين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تقدّم الأصل السببيّ على المُسبّبي ليس لحكومته عليه، بل لحكومته على الدليل الاجتهاديّ بتنقيح موضوعه، و حكومة الدليل الاجتهاديّ على الأصل المُسبّبي بتنقيح موضوعه أو رفعه، فتأمّل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ذكرناه هو مُراد الشيخ الأعظم من قوله في جواب الإشكال الأوّل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نقض يقين النجاسة بالدليل الدالّ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نجس غسل بماء</w:t>
      </w:r>
      <w:bookmarkStart w:id="379" w:name="pg2245_12989"/>
    </w:p>
    <w:p>
      <w:pPr>
        <w:pStyle w:val="BookText"/>
        <w:rPr/>
      </w:pPr>
      <w:bookmarkEnd w:id="379"/>
      <w:r>
        <w:rPr>
          <w:rFonts w:ascii="Amiri" w:hAnsi="Amiri" w:eastAsia="Amiri" w:cs="Amiri"/>
          <w:color w:val="111111"/>
          <w:sz w:val="28"/>
          <w:sz w:val="28"/>
          <w:szCs w:val="28"/>
          <w:rtl w:val="true"/>
          <w:lang w:bidi="ar-SA"/>
        </w:rPr>
        <w:t>طاهر فقد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فائدة استصحاب الطهارة إثبات كون الماء طاهراً به </w:t>
      </w:r>
      <w:r>
        <w:rPr>
          <w:rStyle w:val="FootnoteAnchor"/>
          <w:rtl w:val="true"/>
        </w:rPr>
        <w:footnoteReference w:id="47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 قدس سره لم يستقرّ على هذا المبنى، و كأنَّه لم ينضجه و لم يتأمّل في أطرافه، و لذا تراه يُجيب عن الإشكال الثاني الذي هو قريب من الأوّل أو عينه بما هو خلاف التحقيق، و ها أنا اذكر مُلخّص الإشكال و الجواب</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1614157_3804643083"/>
      <w:bookmarkStart w:id="381" w:name="_Toc139"/>
      <w:bookmarkEnd w:id="380"/>
      <w:r>
        <w:rPr>
          <w:rtl w:val="true"/>
        </w:rPr>
        <w:t>نقل كلام الشيخ الأعظم و نقده</w:t>
      </w:r>
      <w:bookmarkEnd w:id="381"/>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بأنَّ اليقين بطهارة الماء و اليقين بنجاسة الثوب المغسول به كلّاً منهما يقين سابق شُكّ في بقائه و ارتفاعه،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إليهما على حدٍّ سواء، فلا وجه لإجرائه في السبب دون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نسبة العموم إليهما ليست على حدٍّ سواء؛ لأنَّ شموله للسبب بلا محذور، و لكن شموله للمُسبّب مُستلزم للدور؛ لأنَّ تخصيص الدليل بالنسبة إلى السبب يتوقّف على شمول العامّ للمُسبّب، و شموله له يتوقّف على تخصيصه؛ لأنَّه مع عدم التخصيص يخرج الشكّ في الأصل المُسبّبي عن قابليّة شمول العامّ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فرديّة الشكّ المُسبّبي للعام تتوقّف على رفع اليد عنه بالنسبة إلى الشكّ السببيّ، و رفع اليد عنه يتوقّف على فرديّة المُسبّبي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العامّ و الشكّ المُسبّبي من قبيل لازم الوجود للشكّ السببيّ فهما في رتبة واحدة، فلا يجوز أن يكون أحدهما موضوعاً للآخر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السببيّ في المرتبة المُتقدّمة لا محذور لشمول العامّ له، فإنَّه بلا مزاحم، فإنَّ الشكّ المُسبّبي ليس في هذه الرتبة، و في الرتبة المُتأخّرة يزول الشكّ</w:t>
      </w:r>
    </w:p>
    <w:p>
      <w:pPr>
        <w:pStyle w:val="BookText"/>
        <w:rPr/>
      </w:pPr>
      <w:r>
        <w:rPr>
          <w:rFonts w:ascii="Amiri" w:hAnsi="Amiri" w:eastAsia="Amiri" w:cs="Amiri"/>
          <w:color w:val="111111"/>
          <w:sz w:val="28"/>
          <w:sz w:val="28"/>
          <w:szCs w:val="28"/>
          <w:rtl w:val="true"/>
          <w:lang w:bidi="ar-SA"/>
        </w:rPr>
        <w:t>بدليل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الأصل السببىّ فيخرج عن قابليّة شمول العامّ </w:t>
      </w:r>
      <w:r>
        <w:rPr>
          <w:rStyle w:val="FootnoteAnchor"/>
          <w:rtl w:val="true"/>
        </w:rPr>
        <w:footnoteReference w:id="471"/>
      </w:r>
      <w:r>
        <w:rPr>
          <w:rFonts w:ascii="Amiri" w:hAnsi="Amiri" w:eastAsia="Amiri" w:cs="Amiri"/>
          <w:color w:val="111111"/>
          <w:sz w:val="28"/>
          <w:sz w:val="28"/>
          <w:szCs w:val="28"/>
          <w:rtl w:val="true"/>
          <w:lang w:bidi="ar-SA"/>
        </w:rPr>
        <w:t>انتهى بتوضيحٍ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من لزوم الدور غير وارد؛ لأنَّ فرديّة الشكّ السببيّ للعامّ وجدانيّة لا تتوقّف على شي‌ءٍ، فالشكّ السببيّ و المُسبّبي كلاهما مشمولان للعامّ، و لو فرض أنَّ مفاد الأصل السببيّ وجوب ترتيب آثار الكرّية و من آثارها طهارة الثوب المغسول به،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طهارة الثوب المغسول بالكرّ فابنِ على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مفاد الأصل المُسبّبي الذي يكون مصداقاً للعامّ وجداناً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شككت في طهارة الثوب الكذائيّ و نجاسته فابنِ على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حكمان واردان على موضوعٍ واحدٍ في الشكّ في طهارة الثوب المغسول بالكرّ و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مفاد الأصل السببيّ منافياً للشكّ المُسبّبي بالذات؛ لأنَّ الأصل السببيّ يحكم بكرّية الماء، و الأصل المُسببيّ لا ينافيها، بل المُنافاة إنّما تكون بين الحكم بطهارة الثوب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احكام استصحاب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الحكم بنجاسته التي هي مفاد الأصل المُسبّبي، و هما واردان على موضوع واحد، فالثوب المشكوك فيه يكون مورداً لاستصحاب النجاسة و للحكم المُترتّب على استصحاب الكرّية،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على يقين من طهارة الثوب المغسول بالكرّ إذا شككت في طهارته و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على يقين من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مُتنافيان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المقصود من استصحاب النجاسة للثوب الحكم بعدم كرّية الماء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مُثبت، بل المُراد به هو الحكم بنجاسة الثوب ليس إلّا، فاستصحاب الكرّية مفاده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رتّب آثار الكرّية مُطلقاً، و منها طهارة الثوب المغسول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استصحاب النجاسة مفاده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رتّب آثار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لتقدّم أحد التعبّدين على الآخر</w:t>
      </w:r>
    </w:p>
    <w:p>
      <w:pPr>
        <w:pStyle w:val="BookText"/>
        <w:rPr/>
      </w:pPr>
      <w:r>
        <w:rPr>
          <w:rFonts w:ascii="Amiri" w:hAnsi="Amiri" w:eastAsia="Amiri" w:cs="Amiri"/>
          <w:color w:val="111111"/>
          <w:sz w:val="28"/>
          <w:sz w:val="28"/>
          <w:szCs w:val="28"/>
          <w:rtl w:val="true"/>
          <w:lang w:bidi="ar-SA"/>
        </w:rPr>
        <w:t>و لا حكومة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أن نقول بناءً على هذا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ما يكون الأمر دائراً بين التخصيص في أدلّة الاستصحاب إذا رفعت اليد عن الأصل المُسبّبي، و بين التقييد فيها إذا رفعت اليد عن مُقتضى الأصل السببيّ، كما في المثال المُتقدّم، فإنَّ رفع اليد عن استصحاب النجاسة تخصيص في ادلّة الاستصحاب، و رفع اليد عن طهارة الثوب المغسول به تقييد فيها؛ لأنَّ استصحاب الكرّية بعض آثاره طهارة الثوب المغسول به، و ترتيب جميع الآثار إنّما هو بالإطلاق لا العموم، فدار الأمر بين التقييد و التخصيص، و لعلّ التقييد أولى من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من تقدّم الشكّ السببيّ طبعاً و رتبة على الشكّ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ما تقدّم </w:t>
      </w:r>
      <w:r>
        <w:rPr>
          <w:rStyle w:val="FootnoteAnchor"/>
          <w:rtl w:val="true"/>
        </w:rPr>
        <w:footnoteReference w:id="472"/>
      </w:r>
      <w:r>
        <w:rPr>
          <w:rFonts w:ascii="Amiri" w:hAnsi="Amiri" w:eastAsia="Amiri" w:cs="Amiri"/>
          <w:color w:val="111111"/>
          <w:sz w:val="28"/>
          <w:sz w:val="28"/>
          <w:szCs w:val="28"/>
          <w:rtl w:val="true"/>
          <w:lang w:bidi="ar-SA"/>
        </w:rPr>
        <w:t>في جواب شيخنا العلّامة أعلى اللَّه مقامه في مبحث الاستصحاب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التقدّم العِليّ و المعلوليّ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منشؤه صدور أحدهما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منشأ لتقدّم ترتّب الحكم عليه؛ لأنَّه أمر عقليّ خارج عن المحاورات العرفيّة، فقضيّة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قضيّة عرفيّة مُلقاة إلى العرف، و الشكّ السببيّ يكون مع الشكّ المُسببيّ في الوجود الخارجيّ معيّة زمانيّة خارجيّة لا يتقدّم أحدهما على الآخر، و الترتّب العِلّي العقليّ الذي منشؤه صدور هذا من هذا أو نحوه لا يصير مناطاً لتقدّم انطباق الكبرى على العلّة و تأّخره عن المعلول، فكلّ من العلّة و المعلول في عرض واحد بالنسبة إلى عدم نقض اليقين و بالشكّ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الشكّ السببيّ في الرتبة المُتقدّمة على الشكّ المُسبّبي و على الحكم بالكرّية، و الحكم بطهارة الثوب المغسول به مُتأخّر عن الحكم بالكرّية تأخّر الحكم عن موضوعه، و الحكم بالنجاسة مُتأخّر عن الشكّ في النجاسة و الطهارة الذي</w:t>
      </w:r>
      <w:bookmarkStart w:id="382" w:name="pg2245_12996"/>
    </w:p>
    <w:p>
      <w:pPr>
        <w:pStyle w:val="BookText"/>
        <w:rPr/>
      </w:pPr>
      <w:bookmarkEnd w:id="382"/>
      <w:r>
        <w:rPr>
          <w:rFonts w:ascii="Amiri" w:hAnsi="Amiri" w:eastAsia="Amiri" w:cs="Amiri"/>
          <w:color w:val="111111"/>
          <w:sz w:val="28"/>
          <w:sz w:val="28"/>
          <w:szCs w:val="28"/>
          <w:rtl w:val="true"/>
          <w:lang w:bidi="ar-SA"/>
        </w:rPr>
        <w:t>هو في رتبة الحكم بالكرّية و في عرض الحكم بالطهارة، فالحكم بطهارة الثوب في رتبة الحكم بالنجاسة، فما هو المُتقدّم ليس مُعارضاً لاستصحاب النجاسة، و ما هو المُعارض و هو التعبّد بالطهارة في 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تقدّم الأصل السببيّ على المُسبّبي ليس لأجل التقدّم الرتبيّ و الطبعيّ، و لا لأجل دوران الأمر بين التخصّص و التخصيص بلا وجه، أو على وجه دائر، بل الوجه في تقدّمه عليه هو حكومة الأصل السببيّ على الكبرى الكلّيّة الاجتهاديّة بتنقيح موضوعها و تقدّم الدليل الاجتهاديّ المحرز بالتعبّد على الأصل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فالميزان في كون الأصل السببيّ مُقدّماً على المُسبّبي على ما ذكرنا هو أن يندرج بالأصل السببي شي‌ء في موضوع كبرى كلّية مُتضمّنة للحكم على أحد طرفي الشكّ المُسبّبي، إثباتاً أو نفياً، فاستصحاب كرّية الماء مُقدّم على استصحاب نجاسة الثوب، و استصحاب قلّة الماء مُقدّم على استصحاب طهارته إذا وردت عليه نجاسة؛ فإنَّه باستصحاب القلّة يندرج الماء المشكوك فيه في موضوع أدلّة انفعال الماء القليل، فيقدّم الدليل الاجتهاديّ على الاستصحاب</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1614159_3804643083"/>
      <w:bookmarkStart w:id="384" w:name="_Toc140"/>
      <w:bookmarkEnd w:id="383"/>
      <w:r>
        <w:rPr>
          <w:rtl w:val="true"/>
        </w:rPr>
        <w:t>الأشكال على ما قالوا في وجه طهارة الملاقي لبعض أطراف العلم</w:t>
      </w:r>
      <w:bookmarkEnd w:id="38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إشكال على ما أفادوا في وجه طهارة مُلاقي أحد أطراف المعلوم بالإجمال؛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طهارة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 عن الشكّ في طهارة المُلاقى، و أصالة الطهارة فيه حاكمة على اصالة الطهارة في المُلاقي،</w:t>
      </w:r>
      <w:bookmarkStart w:id="385" w:name="pg2245_12998"/>
    </w:p>
    <w:p>
      <w:pPr>
        <w:pStyle w:val="BookText"/>
        <w:rPr/>
      </w:pPr>
      <w:bookmarkEnd w:id="385"/>
      <w:r>
        <w:rPr>
          <w:rFonts w:ascii="Amiri" w:hAnsi="Amiri" w:eastAsia="Amiri" w:cs="Amiri"/>
          <w:color w:val="111111"/>
          <w:sz w:val="28"/>
          <w:sz w:val="28"/>
          <w:szCs w:val="28"/>
          <w:rtl w:val="true"/>
          <w:lang w:bidi="ar-SA"/>
        </w:rPr>
        <w:t xml:space="preserve">فلا تجري هي إلّا بعد سقوط الأصل الحاكم بالمُعارضة، و بعده تجري بلا معارض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أنَّ طهارة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الآثار الشرعيّة لطهارة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طهارة المُلاقى لا ترفع الشكّ عن الملاقي، فلا تكون حاكمة على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الميزان في تقدّم الأصل السببيّ هو إحرازه موضوع دليل اجتهاديّ يحكم بثبوت حكم في ورود الأصل المُسبّبيّ أو نفيه عنه، و لم يرد دليل اجتهاديّ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لاقى طاهراً 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المُستفاد من شتات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لاقى نجساً فهو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فاستصحاب نجاسة المُلاقى في مورده مُقدّم على استصحاب طهارة المُلاقي أو أصالة طهارته؛ لثبوت الكبرى المُتقدّمة، و أمّا استصحاب طهارته فلا يقدّم على استصحاب طهارة ملاقيه، و كذا أصالة الطهارة في المُلاقي و المُلاقى تجريان في عرض واحد، لا تقدّم لإحداهما على الاخرى، و لقد ذكرنا وجه جريان أصل الطهارة في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مُعارض في محلّة فراجع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1614161_3804643083"/>
      <w:bookmarkStart w:id="387" w:name="_Toc141"/>
      <w:bookmarkEnd w:id="386"/>
      <w:r>
        <w:rPr>
          <w:rtl w:val="true"/>
        </w:rPr>
        <w:t>دفع إشكال أوردناه على صحيحة زُرارة</w:t>
      </w:r>
      <w:bookmarkEnd w:id="38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ممّا ذكرنا يتّضح الجواب عن الإشكال الذي أوردناه سابقاً في ذيل صحيحة زرارة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منها إجراء استصحاب الوضوء لدى الشكّ في تحقّق النوم، مع أنَّ الشكَّ في بقاء الوضوء مُسبّب عن الشكّ في تحقّق النوم، فكان ينبغي</w:t>
      </w:r>
    </w:p>
    <w:p>
      <w:pPr>
        <w:pStyle w:val="BookText"/>
        <w:rPr/>
      </w:pPr>
      <w:r>
        <w:rPr>
          <w:rFonts w:ascii="Amiri" w:hAnsi="Amiri" w:eastAsia="Amiri" w:cs="Amiri"/>
          <w:color w:val="111111"/>
          <w:sz w:val="28"/>
          <w:sz w:val="28"/>
          <w:szCs w:val="28"/>
          <w:rtl w:val="true"/>
          <w:lang w:bidi="ar-SA"/>
        </w:rPr>
        <w:t>عليه إجراء استصحاب عدم النوم، و أجبنا عنه بوجهٍ مبني على تسليم حكومة أصالة عدم النوم على أصالة بقاء الوضوء</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التحقيق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عدم النوم لا يثبت بقاء الوضوء إلّا على القول بالأصل المُثبت، لما عرفت </w:t>
      </w:r>
      <w:r>
        <w:rPr>
          <w:rStyle w:val="FootnoteAnchor"/>
          <w:rtl w:val="true"/>
        </w:rPr>
        <w:footnoteReference w:id="476"/>
      </w:r>
      <w:r>
        <w:rPr>
          <w:rFonts w:ascii="Amiri" w:hAnsi="Amiri" w:eastAsia="Amiri" w:cs="Amiri"/>
          <w:color w:val="111111"/>
          <w:sz w:val="28"/>
          <w:sz w:val="28"/>
          <w:szCs w:val="28"/>
          <w:rtl w:val="true"/>
          <w:lang w:bidi="ar-SA"/>
        </w:rPr>
        <w:t>من أنَّ الميزان في تقدّم الأصل السببيّ على المُسبّبي هو إدراج الأصل السببيّ المُستصحب تحت الكبرى الكلّية الشرعيّة حتّى يترتّب عليه الحكم المُترتّب على ذاك العنوان، كاستصحاب العدالة لإدراج الموضوع تحت كبرى جواز الطلاق و الشهادة و الاقتداء و القضاء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ترد كبرى شرعيّة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الوضوء باقٍ مع عدم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حاكم عقليّ مُستفاد من أدلّة ناقضيّة النوم، كقول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الوضوء إلّا ما خرج من طرفيك أو النوم</w:t>
      </w:r>
      <w:r>
        <w:rPr>
          <w:rFonts w:eastAsia="Amiri" w:cs="Amiri" w:ascii="Amiri" w:hAnsi="Amiri"/>
          <w:color w:val="111111"/>
          <w:sz w:val="28"/>
          <w:szCs w:val="28"/>
          <w:rtl w:val="true"/>
          <w:lang w:bidi="ar-SA"/>
        </w:rPr>
        <w:t>)</w:t>
      </w:r>
    </w:p>
    <w:p>
      <w:pPr>
        <w:pStyle w:val="BookText"/>
        <w:rPr/>
      </w:pPr>
      <w:r>
        <w:rPr>
          <w:rStyle w:val="FootnoteAnchor"/>
          <w:rtl w:val="true"/>
        </w:rPr>
        <w:footnoteReference w:id="477"/>
      </w:r>
      <w:r>
        <w:rPr>
          <w:rFonts w:ascii="Amiri" w:hAnsi="Amiri" w:eastAsia="Amiri" w:cs="Amiri"/>
          <w:color w:val="111111"/>
          <w:sz w:val="28"/>
          <w:sz w:val="28"/>
          <w:szCs w:val="28"/>
          <w:rtl w:val="true"/>
          <w:lang w:bidi="ar-SA"/>
        </w:rPr>
        <w:t>فيحكم العقل بأنَّ الوضوء إذا تحقّق و كانت نواقضه محصورة في امور غير مُتحقّقة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النوم المنفي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باق، فالشكّ في بقاء الوضوء و إن كان مُسبّباً عن الشكّ في تحقّق النوم، لكنّ أصالة النوم لا ترفع ذلك الشكّ إلّا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ذكرنا في فقه الحديث يمكن الاستدلال به على عدم حُجّية مُثبتات الاستصحاب، فتدبّر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الذي ذكرنا في تقدّم الأصل السببيّ ميزان نوعيّ غالبيّ، و إلّا فقد يتقدّم الأصل السببيّ على المُسببيّ؛ لأجل إحرازه موضوع التكليف، فينقّح المُكلّف به، فيقدّم على أصالة الاشتغال عقليّة و نقلية؛ أي استصحاب الاشتغال بناءً على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القسم الأوّل من تعارض الاستصحابين</w:t>
      </w:r>
      <w:r>
        <w:rPr>
          <w:rFonts w:eastAsia="Amiri" w:cs="Amiri" w:ascii="Amiri" w:hAnsi="Amiri"/>
          <w:color w:val="111111"/>
          <w:sz w:val="28"/>
          <w:szCs w:val="28"/>
          <w:rtl w:val="true"/>
          <w:lang w:bidi="ar-SA"/>
        </w:rPr>
        <w:t>.</w:t>
      </w:r>
      <w:bookmarkStart w:id="388" w:name="pg2245_13000"/>
    </w:p>
    <w:p>
      <w:pPr>
        <w:pStyle w:val="Heading4"/>
        <w:numPr>
          <w:ilvl w:val="3"/>
          <w:numId w:val="1"/>
        </w:numPr>
        <w:rPr/>
      </w:pPr>
      <w:bookmarkStart w:id="389" w:name="__RefHeading___Toc1614163_3804643083"/>
      <w:bookmarkStart w:id="390" w:name="_Toc142"/>
      <w:bookmarkEnd w:id="388"/>
      <w:bookmarkEnd w:id="389"/>
      <w:r>
        <w:rPr>
          <w:rtl w:val="true"/>
        </w:rPr>
        <w:t>القسم الثاني من تعارض الاستصحابين</w:t>
      </w:r>
      <w:bookmarkEnd w:id="390"/>
    </w:p>
    <w:p>
      <w:pPr>
        <w:pStyle w:val="Heading5"/>
        <w:numPr>
          <w:ilvl w:val="4"/>
          <w:numId w:val="1"/>
        </w:numPr>
        <w:rPr/>
      </w:pPr>
      <w:bookmarkStart w:id="391" w:name="__RefHeading___Toc1614165_3804643083"/>
      <w:bookmarkStart w:id="392" w:name="_Toc143"/>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و أما القسم الثاني منه؛ أي ما كان الشكّ فيهما ناشئاً عن أمرٍ ثالث فمورده ما إذا علم ارتفاع أحد الحادثين لا بعينه، و هو على أقسام؛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يلزم من العمل بالاستصحابين مخالفة عمليّة لتكليف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يقوم دليل على عدم الجمع بين المُستصحبين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لكلّ منهما أثر شرعيّ في زمان الشكّ، أو يكون الأثر مُترتّباً على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جملة ما تعرّض لها الشيخ الأعظم قدس سره </w:t>
      </w:r>
      <w:r>
        <w:rPr>
          <w:rStyle w:val="FootnoteAnchor"/>
          <w:rtl w:val="true"/>
        </w:rPr>
        <w:footnoteReference w:id="478"/>
      </w:r>
      <w:r>
        <w:rPr>
          <w:rFonts w:ascii="Amiri" w:hAnsi="Amiri" w:eastAsia="Amiri" w:cs="Amiri"/>
          <w:color w:val="111111"/>
          <w:sz w:val="28"/>
          <w:sz w:val="28"/>
          <w:szCs w:val="28"/>
          <w:rtl w:val="true"/>
          <w:lang w:bidi="ar-SA"/>
        </w:rPr>
        <w:t>، و الصورتان الأخيرتان غير داخلتين في تعارض الاستصحابين، فبقيت الصورتان الأولتان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تمحيض البحث في تعارض الاستصحابين بعد الفراغ عن جريانهما؛ و أنَّ مُقتضى القاعدة بعد البناء على الجريان هل هو سقوطهما، أو العمل بأحدهما مخيّراً مطلقاً، أو بعد فقدان المُرجّح، و إلّا فيؤخذ بالأرجح؟</w:t>
      </w:r>
    </w:p>
    <w:p>
      <w:pPr>
        <w:pStyle w:val="BookText"/>
        <w:rPr/>
      </w:pPr>
      <w:r>
        <w:rPr>
          <w:rFonts w:ascii="Amiri" w:hAnsi="Amiri" w:eastAsia="Amiri" w:cs="Amiri"/>
          <w:color w:val="111111"/>
          <w:sz w:val="28"/>
          <w:sz w:val="28"/>
          <w:szCs w:val="28"/>
          <w:rtl w:val="true"/>
          <w:lang w:bidi="ar-SA"/>
        </w:rPr>
        <w:t>و أمّا بعد البناء على عدم جريان الاستصحاب في أطراف العلم الإجمالىّ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للمحذور منه ثبوتاً، أو لقصور أدلّته إثباتاً، فلا يبقى مجال لهذا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هاهنا إنّما هو في تعارض الاستصحابين، لا في جريانهما و عدمه في أطراف العلم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 الاستصحاب في أطراف العلم ذاتاً و كون المحذور هو المخالفة العمليّة، أو قيام الدليل على عدم الجمع بين المُستصحبين هل القاعدة تقتضي ترجيح أحد الأصلين أو سقوطهما أو التخيير بينهما؟</w:t>
      </w:r>
      <w:bookmarkStart w:id="393" w:name="pg2245_13001"/>
    </w:p>
    <w:p>
      <w:pPr>
        <w:pStyle w:val="BookText"/>
        <w:rPr/>
      </w:pPr>
      <w:bookmarkEnd w:id="393"/>
      <w:r>
        <w:rPr>
          <w:rFonts w:ascii="Amiri" w:hAnsi="Amiri" w:eastAsia="Amiri" w:cs="Amiri"/>
          <w:color w:val="111111"/>
          <w:sz w:val="28"/>
          <w:sz w:val="28"/>
          <w:szCs w:val="28"/>
          <w:rtl w:val="true"/>
          <w:lang w:bidi="ar-SA"/>
        </w:rPr>
        <w:t>أمّا الترجيح فلا مجال له، و ذلك يتّضح بعد التنبيه على أمر، و هو أنَّ ترجيح أحد الدليلين أو الأصلين على الآخر إنّما هو بعد الفراغ عن تحقّقهما أوّلا، و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الفراغ عن تحقّق المُرجّح مع ذي المزيّة و مقابله ثانياً، فمع عدم تحقّق المزيّة مع ذيها و مقابله لا يمكن الترجيح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الفراغ عن كون مضمونهما واحداً ثالثاً؛ ضرورة عدم تقوية شي‌ء بما يخالفه أو لا يوافقه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ترجيح أحد الاستصحابين على الآخر بدليل اجتهاديّ معتبر، أو بدليل ظنّي غير مُعتبر، أو بأصل من الاصول الشرعيّة أو العُقلائيّة المعتبرة، أو غير المُعتبرة</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1614167_3804643083"/>
      <w:bookmarkStart w:id="395" w:name="_Toc144"/>
      <w:bookmarkEnd w:id="394"/>
      <w:r>
        <w:rPr>
          <w:rtl w:val="true"/>
        </w:rPr>
        <w:t>عدم جواز ترجيح ذي المزيّة بشي‌ءٍ من المُرجّحات</w:t>
      </w:r>
      <w:bookmarkEnd w:id="395"/>
    </w:p>
    <w:p>
      <w:pPr>
        <w:pStyle w:val="BookText"/>
        <w:rPr/>
      </w:pPr>
      <w:r>
        <w:rPr>
          <w:rFonts w:ascii="Amiri" w:hAnsi="Amiri" w:eastAsia="Amiri" w:cs="Amiri"/>
          <w:color w:val="111111"/>
          <w:sz w:val="28"/>
          <w:sz w:val="28"/>
          <w:szCs w:val="28"/>
          <w:rtl w:val="true"/>
          <w:lang w:bidi="ar-SA"/>
        </w:rPr>
        <w:t>لا سبيل إلى الترجيح بالدليل الاجتهاديّ المُعتبر؛ لحكومته على الاستصحاب، فلا يبقى ذو المزيّة معه، و كذا بالأُصول العُقلائيّة المعتبرة، لعين ما ذكر، و لا بالأُصول الشرعيّة كأصالة الإباحة و الطهارة و البراءة، و لا العقليّة كأصالة البراءة و الاشتغال؛ لأنَّ الاستصحاب مُقدّم على كلّ منها، فلا تتحقّق المزيّة، مع ذيها، فلا مجال للترجيح بالشي‌ء المفقود مع ما يراد الترجيح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لترجيح الأصل الحاكم بالمحكوم و بالعكس، فاستصحاب الطهارة لا يرجّح بأصلها و بالعكس</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الترجيح بدليل ظنّي غير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كترجيح الاستصحاب بالعدل الواحد بناءً على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أيضاً؛ لتخالف موضوعيهما و مضمونيهما، فمفاد استصحاب الطهارة ترتيب آثار اليقين بالطهارة في زمان الشكّ، أو ترتيب آثار الطهارة</w:t>
      </w:r>
    </w:p>
    <w:p>
      <w:pPr>
        <w:pStyle w:val="BookText"/>
        <w:rPr/>
      </w:pPr>
      <w:r>
        <w:rPr>
          <w:rFonts w:ascii="Amiri" w:hAnsi="Amiri" w:eastAsia="Amiri" w:cs="Amiri"/>
          <w:color w:val="111111"/>
          <w:sz w:val="28"/>
          <w:sz w:val="28"/>
          <w:szCs w:val="28"/>
          <w:rtl w:val="true"/>
          <w:lang w:bidi="ar-SA"/>
        </w:rPr>
        <w:t>الواقعيّة في زمان الشكّ، و مفاد الدليل الظنّي كخبر الواحد هو الطهارة الواقعيّة، فلا يتوافق مضمونهما و لا رتبتهما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إلى أنَّ الاستصحاب من الاصول المُحرزة، و أنَّ مفاده هو الحكم بوجود المُستصحب، أو العمل به على أنَّه هو الواقع </w:t>
      </w:r>
      <w:r>
        <w:rPr>
          <w:rStyle w:val="FootnoteAnchor"/>
          <w:rtl w:val="true"/>
        </w:rPr>
        <w:footnoteReference w:id="479"/>
      </w:r>
      <w:r>
        <w:rPr>
          <w:rFonts w:ascii="Amiri" w:hAnsi="Amiri" w:eastAsia="Amiri" w:cs="Amiri"/>
          <w:color w:val="111111"/>
          <w:sz w:val="28"/>
          <w:sz w:val="28"/>
          <w:szCs w:val="28"/>
          <w:rtl w:val="true"/>
          <w:lang w:bidi="ar-SA"/>
        </w:rPr>
        <w:t>لا بدّ له من الذهاب إلى ترجيحه بالدليل الظنّي غير المُعتبر؛ لوحدة مضمونيهما، بل رتبتيهما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ذهب صاحب هذا القول إلى عدم جريان الاستصحاب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يلزم منه مخالفة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يعقل الحكم ببقاء النجاسة مثلًا في كلّ واحد من الإناءين مع العلم بطهارة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مجرّد أنَّه لا تلزم من الاستصحابين مخالفة عمليّة لا يقتضي صحّة التعبّد ببقاء النجاسة في كلّ منهما؛ فإنَّ الجمع في التعبّد ببقاء مؤدّى الاستصحابين ينافي و يناقض العلم الوجدانيّ بالخلاف </w:t>
      </w:r>
      <w:r>
        <w:rPr>
          <w:rStyle w:val="FootnoteAnchor"/>
          <w:rtl w:val="true"/>
        </w:rPr>
        <w:footnoteReference w:id="4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المناقضة بين العلم الوجدانيّ و مؤدّى الاستصحابين لا تمكن إلّا أن يكون مُتعلّقهما واحداً، و مع وحدة المُتعلّق و المناقضة بين المفادين يتقوّى أحدهما بالآخر إذا كانا متوافقي المضمون، و لا يكون محذوراً آخر، و مُتعلّق العلم الوجدانيّ عين مُتعلّق الظنّ الغير المُعتبر، فإذا كان مؤدّى الاستصحابين مناقضاً للعلم يكون مناقضاً للظنّ في صورة التخالف، و موافقاً في غيرها، و مع توافق مضمونهما و مُتعلّقهما لا وجه لعدم تقوّي أحدهما بالآخر، و عدم ترجيحه به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مفاد الاستصحاب هو البناء العمليّ و لزوم ترتيب أثر الواقع على المؤدّى لا يكون مُناقضاً للعلم الوجدانيّ المُتعلّق بالواقع، فلا وجه لعدم جريانه في</w:t>
      </w:r>
      <w:bookmarkStart w:id="396" w:name="pg2245_13003"/>
    </w:p>
    <w:p>
      <w:pPr>
        <w:pStyle w:val="BookText"/>
        <w:rPr/>
      </w:pPr>
      <w:bookmarkEnd w:id="396"/>
      <w:r>
        <w:rPr>
          <w:rFonts w:ascii="Amiri" w:hAnsi="Amiri" w:eastAsia="Amiri" w:cs="Amiri"/>
          <w:color w:val="111111"/>
          <w:sz w:val="28"/>
          <w:sz w:val="28"/>
          <w:szCs w:val="28"/>
          <w:rtl w:val="true"/>
          <w:lang w:bidi="ar-SA"/>
        </w:rPr>
        <w:t>أطراف العلم الإجماليّ إذا لم تلزم منه مخالفة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مؤدّاهما الواقع فيكون مُناقضاً للعلم الوجدانيّ، و يجب أن يتقوّى بالظنّ الغير المُعتبر، و يكون الظنّ مُرجّحاً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فالجمع بين عدم جريان الاستصحابين في أطراف العلم مُطلقاً؛ لمكان التناقض، و بين عدم ترجيح الاستصحاب بالأمارة الغير المُعتبرة بين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وارد عليك أيضاً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أدلّة الاستصحاب إطالة عمر اليقين، و هي تقتضي الكشف عن الواقع، فلا بدّ و أن يتقوّى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سابقاً</w:t>
      </w:r>
      <w:r>
        <w:rPr>
          <w:rStyle w:val="FootnoteAnchor"/>
          <w:rtl w:val="true"/>
        </w:rPr>
        <w:footnoteReference w:id="481"/>
      </w:r>
      <w:r>
        <w:rPr>
          <w:rFonts w:ascii="Amiri" w:hAnsi="Amiri" w:eastAsia="Amiri" w:cs="Amiri"/>
          <w:color w:val="111111"/>
          <w:sz w:val="28"/>
          <w:sz w:val="28"/>
          <w:szCs w:val="28"/>
          <w:rtl w:val="true"/>
          <w:lang w:bidi="ar-SA"/>
        </w:rPr>
        <w:t>أنَّ اليقين لا يعقل أن يكون كاشفاً عن الواقع في زمان الشكّ؛ ضرورة عدم كاشفيّته إلّا عن مُتعلّقه في ظرف تحقّقه لا مُطلقاً، فمعنى إطالة عمر اليقين في عالم التشريع ليس إلّا لزوم ترتيب آثار اليقين الطريقيّ؛ أي ترتيب آثار الواقع في زمان الشكّ، و هو لا يناقض الواقع، و أيّ تناقض بين كون الشى‌ء نجساً واقعاً، و لزوم ترتيب آثار الطهارة في ظرف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إطالة عمر اليقين تعبّداً ليست إلّا التعبّد ببقائه بحسب الآثار،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ترجيحه بالمُرجّحات</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1614169_3804643083"/>
      <w:bookmarkStart w:id="398" w:name="_Toc145"/>
      <w:bookmarkEnd w:id="397"/>
      <w:r>
        <w:rPr>
          <w:rtl w:val="true"/>
        </w:rPr>
        <w:t>بيان وجه تساقطهما</w:t>
      </w:r>
      <w:bookmarkEnd w:id="39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جريانهما في أطرافه ذاتاً، و قلنا المانع منه المخالفة العمليّة، أو قيام الدليل على عدم الجريان كالمتمِّم و المُتمِّم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الكبرى المجعولة في باب</w:t>
      </w:r>
      <w:bookmarkStart w:id="399" w:name="pg2245_13004"/>
    </w:p>
    <w:p>
      <w:pPr>
        <w:pStyle w:val="BookText"/>
        <w:rPr/>
      </w:pPr>
      <w:bookmarkEnd w:id="399"/>
      <w:r>
        <w:rPr>
          <w:rFonts w:ascii="Amiri" w:hAnsi="Amiri" w:eastAsia="Amiri" w:cs="Amiri"/>
          <w:color w:val="111111"/>
          <w:sz w:val="28"/>
          <w:sz w:val="28"/>
          <w:szCs w:val="28"/>
          <w:rtl w:val="true"/>
          <w:lang w:bidi="ar-SA"/>
        </w:rPr>
        <w:t>الاستصحاب تكون نسبتها إلى جميع الأفراد على السواء، و شمولها لها شمولًا واحداً تعيناً، أي تكون شاملة لجميع الأفراد على سبيل التعيين، لا الأعمّ من التخيير حتّى يكون شمولها لكلّ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مرّات غير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معيّناً، و مرّة مخيّراً بين اثنين اثنين، و مرّة بين ثلاثة ثلاثة و هكذا، أو فى حالٍ مُعيّناً، و في حال مُخيّراً و مُعيّناً،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الأخذ بكلّ واحد من أطراف العلم؛ للزوم المُخالفة العمليّة، و لا ببعض الأطراف مُعيناً؛ لعدم التراجيح، و لا مخيّراً؛ لعدم شمول الكبرى للأفراد مُخيّراً رأساً، فيلزم سقوطهما</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1614171_3804643083"/>
      <w:bookmarkStart w:id="401" w:name="_Toc146"/>
      <w:bookmarkEnd w:id="400"/>
      <w:r>
        <w:rPr>
          <w:rtl w:val="true"/>
        </w:rPr>
        <w:t>حول وجهي التخيير و الجواب عنهما</w:t>
      </w:r>
      <w:bookmarkEnd w:id="401"/>
    </w:p>
    <w:p>
      <w:pPr>
        <w:pStyle w:val="BookText"/>
        <w:rPr/>
      </w:pPr>
      <w:r>
        <w:rPr>
          <w:rFonts w:ascii="Amiri" w:hAnsi="Amiri" w:eastAsia="Amiri" w:cs="Amiri"/>
          <w:color w:val="111111"/>
          <w:sz w:val="28"/>
          <w:sz w:val="28"/>
          <w:szCs w:val="28"/>
          <w:rtl w:val="true"/>
          <w:lang w:bidi="ar-SA"/>
        </w:rPr>
        <w:t xml:space="preserve">و ما يمكن أن يكون وجهاً للتخيير أمران ذكرناهما في باب الاشتغال </w:t>
      </w:r>
      <w:r>
        <w:rPr>
          <w:rStyle w:val="FootnoteAnchor"/>
          <w:rtl w:val="true"/>
        </w:rPr>
        <w:footnoteReference w:id="482"/>
      </w:r>
      <w:r>
        <w:rPr>
          <w:rFonts w:ascii="Amiri" w:hAnsi="Amiri" w:eastAsia="Amiri" w:cs="Amiri"/>
          <w:color w:val="111111"/>
          <w:sz w:val="28"/>
          <w:sz w:val="28"/>
          <w:szCs w:val="28"/>
          <w:rtl w:val="true"/>
          <w:lang w:bidi="ar-SA"/>
        </w:rPr>
        <w:t>، و نشير إليهما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سقوط الدليل بما ذكر يستكشف العقل خطاباً تخييريّاً؛ لوجود الملاك التامّ في الأطراف، كما في باب التزاحم،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أنقذ الغريق إذا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التزاحم يستكشف العقل خطاباً تخييريّاً؛ لوجود الملاك في كلّ منهما، فما هو الملاك لتعلّق الخطاب التعيينيّ لكل غريق يكون ملاكاً للخطاب التخييريّ، فبعد سقوط الهيئة نتمسّك بإطلاق المادّة، و نستكشف الخطاب التخييريّ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استكشاف الملاك لا طريق له مع سقوط الهيئة 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السقوط إذا كان بحكم العقل لا يوجب تقييد المادّة، و لا سقوط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استكشاف الخطاب التخييريّ لا يمكن فيما نحن فيه؛ لاحتمال ترجّح اقتضاء التكليف الواقعي في الاحتياط على اقتضاء اليقين و الشكّ لحرمة النقض، و مع هذا الاحتمال لا يمكن كشف الخطاب؛ لعدم إحراز الملاك التامّ، كذا قيل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كشف الخطاب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مانع منه لوجود الملاك في كلّ من الطرفين، دون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الملاك في الطرفين، و لا في واحد منهما؛ لأنَّه ليس تكليفاً نفسيّاً مشتملًا على الملاك، بل هو تكليف لأجل التحفّظ على الواقع، لا بمعنى كونه طريقاً إليه، بل بمعنى كون ترتيب آثار الواقع بملاك دَرْك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إذا أوجب الشارع الاحتياط في الشبهة البدويّة، فاستصحاب الوجوب و الحرمة لا يوجب حدوث ملاك في المُستصحب، بل يكون حُجّة على الواقع لو أصاب الواقع، و إلّا يكون التخلّف تجرّياً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منه الاستصحابات الموضوعيّة، فإذا علم انتقاض الحالة السابقة في بعض الأطراف و سقط الأصلان لا يمكن كشف الحكم التخييريّ، لعدم الملاك في الطرفين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أدلّة الاستصحاب يقتضي عدم نقض اليقين بالشكّ في حال نقض الآخر و عدمه، كما أنَّ إطلاق أدلّة الترخيص يقتضيه في حال الإتيان بالآخر و عدمه، و إطلاق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إنقاذ كلّ غريق، أنقذ الآخر أو لا، و لا يجوز رفع اليد عنه إلّا بما يحكم العقل، و هو ما تلزم منه المُخالفة العمليّة، و الترخيص في المعصية، و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الأخذ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تخييراً، و بالأدلّة المُرخّصة كذلك، و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المحذور فيها إنّما هو من إطلاق تلك الأدلّة، فلا بدّ من رفع اليد منه، لا من أصلها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أجاب عنه بعض أعاظم العصر بوجهٍ ضعيفٍ </w:t>
      </w:r>
      <w:r>
        <w:rPr>
          <w:rStyle w:val="FootnoteAnchor"/>
          <w:rtl w:val="true"/>
        </w:rPr>
        <w:footnoteReference w:id="486"/>
      </w:r>
      <w:r>
        <w:rPr>
          <w:rFonts w:ascii="Amiri" w:hAnsi="Amiri" w:eastAsia="Amiri" w:cs="Amiri"/>
          <w:color w:val="111111"/>
          <w:sz w:val="28"/>
          <w:sz w:val="28"/>
          <w:szCs w:val="28"/>
          <w:rtl w:val="true"/>
          <w:lang w:bidi="ar-SA"/>
        </w:rPr>
        <w:t xml:space="preserve">، و لقد تعرّضنا لجوابه و بعض موارد الإشكال عليه في ذلك المبحث فراجع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شيخنا الاستاذ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رفع اليد عن الإطلاق كلّ طرف هو الترخيص في كلّ طرف بشرط ترك الآخر، و وجوب إنقاذ كلّ واحد من الغريقين بشرط ترك الآخر، و هو مستلزم للترخيص في المعصية إذا تركهما، و للتكليف بما لا يطاق إذا ترك إنقاذ الغريقين؛ لتحقّق شرط كلّ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الأحكام لا تشمل حال وجود مُتعلّقاتها، و لا حال عدمها؛ لأنَّ الشي‌ء المفروض الوجود ليس قابلًا لأن يتعلّق به حكم، و كذا المفروض العدم؛ لأنَّه بعد هذا الفرض يكون خارجاً عن قدرة العبد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الجواب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المقام قضيّتان شرطيّتان،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تحقّق شرطهما يلزم المحذور المُتقدّم، بل رفع اليد عن الإطلاق إنّما هو بحكم العقل؛ فيما يلزم منه محذور التكليف بالمحال، أو الترخيص في المعصية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المُتزاحمين، فيحكم العقل بأنَّ العبد إذا اشتغل بإنقاذ كلّ غريق يكون معذوراً في ترك الآخر، أو غير 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في حال</w:t>
      </w:r>
    </w:p>
    <w:p>
      <w:pPr>
        <w:pStyle w:val="BookText"/>
        <w:rPr/>
      </w:pPr>
      <w:r>
        <w:rPr>
          <w:rFonts w:ascii="Amiri" w:hAnsi="Amiri" w:eastAsia="Amiri" w:cs="Amiri"/>
          <w:color w:val="111111"/>
          <w:sz w:val="28"/>
          <w:sz w:val="28"/>
          <w:szCs w:val="28"/>
          <w:rtl w:val="true"/>
          <w:lang w:bidi="ar-SA"/>
        </w:rPr>
        <w:t>صرف قدرته لإنقاذه عاجزاً عن إنقاذ الآخر، فيحكم العقل برفع فعليّة التكليف، أو كونه معذوراً حال صرف قدرته في أحدهما عن الآخر، لا أنَّ التكليف بكلّ واحدٍ منهما مشروط بعدم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الإتيان بكلّ واحد منهما يكون معذوراً في ترك الآخر، أو غير مُكلّف به، و إذا تركهما لا يكون معذوراً في واحدٍ منهما، و يكون مُكلّفاً بكلّ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تكليفاً بالمحال؛ لأنَّه غير مُكلّف بالمجموع؛ لعدم تعلّق التكليف إلّا بالمعيّنات، و المجموع ليس مورداً للتكليف، فالمكلّف التارك لإنقاذ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صرف القدرة في إنقاذ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معذور في ترك إنقاذه، بل مكلّف به؛ لكونه قادراً عليه، و كذا التارك لإنقاذ الأخ من غير صرف القدرة في إنقاذ الابن، و لا يتعلّق التكليف بمجموعهما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قادر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العجز عن كلّ واحدٍ منهما إنّما يتحقّق بالاشتغال بالآخر، و العجز عن المجموع و إن كان مُحقّقاً لكنّه غير مُكلّف به، و لا معاقب عليه، بل مُكلّف بكلّ واحد، و مُعاقب عليه إذا تركهما، و هو قادر على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الترخيص في الترك في الشبهات الوجوبيّة، فالذي يحكم به العقل أنَّ ترخيص تركهما غير جائز، و أمَّا الآتي بكلّ واحد فيجوز أن يرخّص في ترك الآخر، فيحكم العقل بأنَّ التارك لكلّ واحدٍ غير مُرخّص في الآخر، و لازمه أنَّ التارك لهما لا يكون مُرخّصاً في واحدٍ منهما، و إن فرض أنَّه لو أتى بواحدٍ منهما يكون غير الواجب الواقعيّ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الشبهات التحريميّة يحكم العقل بأنَّ ترخيص إتيان كلٍّ منهما مُطلقاً غير جائز، دون إتيان كلٍّ مع ترك الآخر، و لازمه أنَّه مع الإتيان بهما لا يكون مُرخّصاً في شي‌ءٍ</w:t>
      </w:r>
    </w:p>
    <w:p>
      <w:pPr>
        <w:pStyle w:val="BookText"/>
        <w:rPr/>
      </w:pPr>
      <w:r>
        <w:rPr>
          <w:rFonts w:ascii="Amiri" w:hAnsi="Amiri" w:eastAsia="Amiri" w:cs="Amiri"/>
          <w:color w:val="111111"/>
          <w:sz w:val="28"/>
          <w:sz w:val="28"/>
          <w:szCs w:val="28"/>
          <w:rtl w:val="true"/>
          <w:lang w:bidi="ar-SA"/>
        </w:rPr>
        <w:t>منهما، لكن مع تركهما لا ينقلب حكم العقل عمّا هو عليه من أنَّه مع فرض ترك كلٍّ مُرخّص في الآخر، و أمّا ترك المجموع فليس موضوعاً واحداً و محكوماً بحكم،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تركهما يكون مُرخّصاً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فرض إطلاق أدلّة الترخيص يحكم العقل برفعه في كلّ واحد مع الإتيان بالآخر، فمع فرض الإتيان بهما لا يكون مُرخّصاً في واحدٍ منهما، و إن فرض أنَّه لو تُرك واحد منهما يكون غير الحرام، فالترخيص في كلّ واحدٍ على فرض ترك الآخر لا ينتهي إلى الإذن في المعصية،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الشأن في إطلاق أدلّة الاستصحاب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دعوى الفرق بين أدلّة الترخيص و بين أدلّة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الاولى مُطلقة دون الثانية؛ لأنَّ الاستصحاب بما أنَّه مجعول بملاحظة الواقع و التحفّظ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كالاحتياط في الشبهات البدويّة لو فرض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إطلاق أدلّته بالنسبة إلى أطراف العلم الإجماليّ بالانتفاض، هذا كلّه حال الاستصحاب مع الأمارات و الاصول</w:t>
      </w:r>
      <w:r>
        <w:rPr>
          <w:rFonts w:eastAsia="Amiri" w:cs="Amiri" w:ascii="Amiri" w:hAnsi="Amiri"/>
          <w:color w:val="111111"/>
          <w:sz w:val="28"/>
          <w:szCs w:val="28"/>
          <w:rtl w:val="true"/>
          <w:lang w:bidi="ar-SA"/>
        </w:rPr>
        <w:t>.</w:t>
      </w:r>
      <w:bookmarkStart w:id="402" w:name="pg2245_13010"/>
    </w:p>
    <w:p>
      <w:pPr>
        <w:pStyle w:val="Heading2"/>
        <w:numPr>
          <w:ilvl w:val="1"/>
          <w:numId w:val="1"/>
        </w:numPr>
        <w:rPr/>
      </w:pPr>
      <w:bookmarkStart w:id="403" w:name="__RefHeading___Toc1614173_3804643083"/>
      <w:bookmarkStart w:id="404" w:name="_Toc147"/>
      <w:bookmarkEnd w:id="402"/>
      <w:bookmarkEnd w:id="403"/>
      <w:r>
        <w:rPr>
          <w:rtl w:val="true"/>
        </w:rPr>
        <w:t>حال الاستصحاب مع سائر القواعد</w:t>
      </w:r>
      <w:bookmarkEnd w:id="404"/>
    </w:p>
    <w:p>
      <w:pPr>
        <w:pStyle w:val="Heading3"/>
        <w:numPr>
          <w:ilvl w:val="2"/>
          <w:numId w:val="1"/>
        </w:numPr>
        <w:rPr/>
      </w:pPr>
      <w:bookmarkStart w:id="405" w:name="__RefHeading___Toc1614175_3804643083"/>
      <w:bookmarkStart w:id="406" w:name="_Toc148"/>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 xml:space="preserve">و أمّا حاله مع سائر القواعد ممّا وقع الكلام في أماريّتها و أصليّتها، فلا بدّ من بيان أدلّتها و حدود دلالتها حتّى يتّضح الحال فيها، فلا بأس بصرف الكلام إليها بنحو البسط تبعاً للشيخ الأعظم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فيها في مباحث</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614177_3804643083"/>
      <w:bookmarkStart w:id="408" w:name="_Toc149"/>
      <w:bookmarkEnd w:id="407"/>
      <w:r>
        <w:rPr>
          <w:rtl w:val="true"/>
        </w:rPr>
        <w:t>المبحث الأوّل في قاعدة اليد</w:t>
      </w:r>
      <w:bookmarkEnd w:id="408"/>
    </w:p>
    <w:p>
      <w:pPr>
        <w:pStyle w:val="Heading4"/>
        <w:numPr>
          <w:ilvl w:val="3"/>
          <w:numId w:val="1"/>
        </w:numPr>
        <w:rPr/>
      </w:pPr>
      <w:bookmarkStart w:id="409" w:name="__RefHeading___Toc1614179_3804643083"/>
      <w:bookmarkStart w:id="410" w:name="_Toc150"/>
      <w:bookmarkEnd w:id="409"/>
      <w:r>
        <w:rPr>
          <w:rtl w:val="true"/>
        </w:rPr>
        <w:t>اشارة</w:t>
      </w:r>
      <w:bookmarkEnd w:id="41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لها جهات من البحث</w:t>
      </w:r>
      <w:r>
        <w:rPr>
          <w:rFonts w:eastAsia="IRNazanin" w:cs="IRNazanin"/>
          <w:color w:val="111111"/>
          <w:sz w:val="28"/>
          <w:szCs w:val="28"/>
          <w:rtl w:val="true"/>
          <w:lang w:bidi="fa-IR"/>
        </w:rPr>
        <w:t>:</w:t>
      </w:r>
      <w:bookmarkStart w:id="411" w:name="pg2245_13011"/>
    </w:p>
    <w:p>
      <w:pPr>
        <w:pStyle w:val="Heading4"/>
        <w:numPr>
          <w:ilvl w:val="3"/>
          <w:numId w:val="1"/>
        </w:numPr>
        <w:rPr/>
      </w:pPr>
      <w:bookmarkStart w:id="412" w:name="__RefHeading___Toc1614181_3804643083"/>
      <w:bookmarkStart w:id="413" w:name="_Toc151"/>
      <w:bookmarkEnd w:id="411"/>
      <w:bookmarkEnd w:id="412"/>
      <w:r>
        <w:rPr>
          <w:rtl w:val="true"/>
        </w:rPr>
        <w:t>الجهة الأولى في تحقيق ماهيّة اليد</w:t>
      </w:r>
      <w:bookmarkEnd w:id="413"/>
    </w:p>
    <w:p>
      <w:pPr>
        <w:pStyle w:val="BookText"/>
        <w:rPr/>
      </w:pPr>
      <w:r>
        <w:rPr>
          <w:rFonts w:ascii="Amiri" w:hAnsi="Amiri" w:eastAsia="Amiri" w:cs="Amiri"/>
          <w:color w:val="111111"/>
          <w:sz w:val="28"/>
          <w:sz w:val="28"/>
          <w:szCs w:val="28"/>
          <w:rtl w:val="true"/>
          <w:lang w:bidi="ar-SA"/>
        </w:rPr>
        <w:t>ماهيّة اليد فيما نحن فيه أي ما هو موضوع بناء العقلاء و الأدلّة الشرعيّة هي الاستيلاء العرفيّ و السلطنة الفعليّة على الشي‌ء أيّ نحو من الاستيلاء كان، و على أيّ شي‌ءٍ تعلّق، و هو يختلف بحسب الموارد، و بحسب المستولي و المستولى عليه، فالاستيلاء على متاع البيت بنحوٍ، و على البيت بنحو، و على القرية بنحو، و على توابعها بنحو، و على مراتعها بنحو، و على التلال و الجبال التي هي من التوابع البعيدة بنحو</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استيلاء السلاطين أو الدول على المملكة بنحو، و على الحدود و الثغور بنحو، و على البحار التابعة لها بنحو، و على الجوّ و المحيط بنحو، و هو يختلف حسب اختلاف الأزمنة، ففي سالف الزمان لم يكن الجوّ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ميل أو أكثر، و قعر البحار العميقة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الاستيلاء و السلطنة الفعليّة، و الآن يكون كلّ ذلك إلى حدودٍ تحتهما، و إذا حدثت آلات أرقى ممّا هي الآن يتّسع نطاق الاستيلاء و السلطنة حسبها، فالاستيلاء أمر اعتباريّ لا مقوليّ، و منشأ اعتباره مُختلف حسب اختلاف الموارد المذكورة</w:t>
      </w:r>
      <w:r>
        <w:rPr>
          <w:rFonts w:eastAsia="Amiri" w:cs="Amiri" w:ascii="Amiri" w:hAnsi="Amiri"/>
          <w:color w:val="111111"/>
          <w:sz w:val="28"/>
          <w:szCs w:val="28"/>
          <w:rtl w:val="true"/>
          <w:lang w:bidi="ar-SA"/>
        </w:rPr>
        <w:t>.</w:t>
      </w:r>
      <w:bookmarkStart w:id="414" w:name="pg2245_13012"/>
    </w:p>
    <w:p>
      <w:pPr>
        <w:pStyle w:val="Heading4"/>
        <w:numPr>
          <w:ilvl w:val="3"/>
          <w:numId w:val="1"/>
        </w:numPr>
        <w:rPr/>
      </w:pPr>
      <w:bookmarkStart w:id="415" w:name="__RefHeading___Toc1614183_3804643083"/>
      <w:bookmarkStart w:id="416" w:name="_Toc152"/>
      <w:bookmarkEnd w:id="414"/>
      <w:bookmarkEnd w:id="415"/>
      <w:r>
        <w:rPr>
          <w:rtl w:val="true"/>
        </w:rPr>
        <w:t>الجهة الثانية الدليل على اعتبارها</w:t>
      </w:r>
      <w:bookmarkEnd w:id="416"/>
    </w:p>
    <w:p>
      <w:pPr>
        <w:pStyle w:val="BookText"/>
        <w:rPr/>
      </w:pPr>
      <w:r>
        <w:rPr>
          <w:rFonts w:ascii="Amiri" w:hAnsi="Amiri" w:eastAsia="Amiri" w:cs="Amiri"/>
          <w:color w:val="111111"/>
          <w:sz w:val="28"/>
          <w:sz w:val="28"/>
          <w:szCs w:val="28"/>
          <w:rtl w:val="true"/>
          <w:lang w:bidi="ar-SA"/>
        </w:rPr>
        <w:t>لا إشكال و لا كلام في اعتبار اليد في الجملة و اقتضائها الملكيّة، و يدلّ عليه بناء العقلاء و سيرتهم في جميع الأعصار و الأمصار، بل هو من الضروريّات، لا يشكّ فيه عاقل، و لا يكون في طريقتهم و سيرتهم ما هو أوضح منه، لو لم نقل بأنَّه ليس فيهما ما هو بتلك المثابة من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ينبغي الإشكال في أنّها لدى العُقلاء أمارة على الملكيّة، و كاشفة عنها، لا أصل عمليّ يعمل العُقلاء على طبقة؛ حفظاً للنظام و رغد العيش، و مبنى أماريّتها هل هي الغلبة، أو الظنّ النوعيّ أو غير ذلك؟ احتمالات، فمن رجع إلى ارتكازات العُرف و بناء العُقلاء لا يشكّ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اعتبارها بل أماريتها مُضافاً إلى ذلك أخبار كثيرة في أبواب مُتفرّقة، نذكر ما عثرنا عليه فعلًا، و فيها الكفاية، و لعلّ المُتتبّع يعثر على أكثر منها، و 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اعتبارها و أماريّتها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اعتبارها من غير دلالة على الأصليّة أو الأماريّة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p>
    <w:p>
      <w:pPr>
        <w:pStyle w:val="BookText"/>
        <w:rPr/>
      </w:pPr>
      <w:r>
        <w:rPr>
          <w:rFonts w:ascii="Amiri" w:hAnsi="Amiri" w:eastAsia="Amiri" w:cs="Amiri"/>
          <w:color w:val="111111"/>
          <w:sz w:val="28"/>
          <w:sz w:val="28"/>
          <w:szCs w:val="28"/>
          <w:rtl w:val="true"/>
          <w:lang w:bidi="ar-SA"/>
        </w:rPr>
        <w:t xml:space="preserve">يونس بن يعقوب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13845</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ذكرها صاحب الوسائل في ميراث</w:t>
      </w:r>
    </w:p>
    <w:p>
      <w:pPr>
        <w:pStyle w:val="BookText"/>
        <w:rPr/>
      </w:pPr>
      <w:r>
        <w:rPr>
          <w:rFonts w:ascii="Amiri" w:hAnsi="Amiri" w:eastAsia="Amiri" w:cs="Amiri"/>
          <w:color w:val="111111"/>
          <w:sz w:val="28"/>
          <w:sz w:val="28"/>
          <w:szCs w:val="28"/>
          <w:rtl w:val="true"/>
          <w:lang w:bidi="ar-SA"/>
        </w:rPr>
        <w:t>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رجال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مجمع الرجال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الوليد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أبو جعفر الكوفي البجلي الخزاز، كان ثقة عيناً نقي الحديث، روى عن يونس بن يعقوب، و حمّاد بن عثمان، و محمّد بن سماعة، و الوليد بن عقبة، و روى عنه سعد بن عبد اللَّه، و عمران بن موسى، و جعفر بن القاسم، و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11934</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معلم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يونس بن يعقوب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امراة تموت قبل الرجل، أو رجل قبل المرأة؟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مَتاع النساء فهو للمرأة، و ما كان من مَتاع الرجال و النساء فهو بينهما، و من استولى على شي‌ء منه فهو 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النزاع و رفع الخصومة، و تشخيص المُدّعي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الأمر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احرز استيلاء أحد الزوجين على شي‌ء من مَتاع البيت فهو له بيمينه، و على المُدّعي إقامة البيّنة، و إن لم يحرز فما كان من مَتاع كلّ من الزوجين و مُختصّاته فهو له، و ما كان من متاعهما و مشتركاً بينهما؛ أي لا يكون من مُختصّات واحدٍ منهما فهو لهما، و يعمل على طبق ميزان القضاء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اختصاص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الذي هو تحت استيلاء الشريكين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واحد منهما أمارة عقلائيّة على يده عليه، فيكون الاختصاص أمارة على كونه مُستولياً عليه زائداً على الاستيلاء البيتيّ، فلو فرض عالم و نجّار في دار، و اختلفا في متاعها، و كان فيها كتب علميّة، و آلات صناعة النجارة، يكون ذلك الاختصاص أمارة عقلائيّة على كون الكتب تحت يد العالم، و الآلات تحت يد النجّار، فيحكم بملكيّة كلّ منهما لما يختصّ به، لأجل اليد و الاستيلاء المنكشفة من الاختصاص، و تُطالَب البيّنة من صاحبه المُدّعي في مقام الخصومة، فيكون الحكم على طبق القاعدة، و لو فرض أنَّ الحكم تعبديّ على خلاف القواعد لا يضرّ بما نحن بصدده؛ و هو استفادة اعتبار اليد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استولى على شي‌ءٍ منه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العرف لا يرى لخصوصيّة الزوج و الزوجة، و لا لمتاع البيت، و لا للنزاع مدخليّة في ذلك، بل ما يفهم العرف من ذلك هو أنَّ الاستيلاء على أيّ نحوٍ كان، و على أيّ شي‌ءٍ كان يكون تمام الموضوع للحكم بأنَّه له، فيستفاد منه قاعدة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أمارة على الملكيّة، فلسانه لسان إلغاء احتمال الخلاف، فهو في دلالته على الأماريّة أقوى من قوله في باب اعتبار خبر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يؤدّي عنّي فعنّي يؤدّي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3"/>
      </w:r>
      <w:r>
        <w:rPr>
          <w:rFonts w:ascii="Amiri" w:hAnsi="Amiri" w:eastAsia="Amiri" w:cs="Amiri"/>
          <w:color w:val="111111"/>
          <w:sz w:val="28"/>
          <w:sz w:val="28"/>
          <w:szCs w:val="28"/>
          <w:rtl w:val="true"/>
          <w:lang w:bidi="ar-SA"/>
        </w:rPr>
        <w:t>فلا إشكال في ذلك لا من حيث الدلالة على القاعدة الكلّيّة، و لا من حيث كون اليد أمارة على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صحيحتا محمّد بن مسلم، ذكرهما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اللقطة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يعقوب </w:t>
      </w:r>
      <w:r>
        <w:rPr>
          <w:rStyle w:val="FootnoteAnchor"/>
          <w:rtl w:val="true"/>
        </w:rPr>
        <w:footnoteReference w:id="494"/>
      </w:r>
      <w:r>
        <w:rPr>
          <w:rFonts w:ascii="Amiri" w:hAnsi="Amiri" w:eastAsia="Amiri" w:cs="Amiri"/>
          <w:color w:val="111111"/>
          <w:sz w:val="28"/>
          <w:sz w:val="28"/>
          <w:szCs w:val="28"/>
          <w:rtl w:val="true"/>
          <w:lang w:bidi="ar-SA"/>
        </w:rPr>
        <w:t xml:space="preserve">عن عليّ عن أبيه </w:t>
      </w:r>
      <w:r>
        <w:rPr>
          <w:rStyle w:val="FootnoteAnchor"/>
          <w:rtl w:val="true"/>
        </w:rPr>
        <w:footnoteReference w:id="495"/>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7816</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الفهرست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محبوب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العلاء بن رزين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الدار يوجد فيها الوَرِق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معمورة فيها أهلها فهي لهم، و إن كانت خَرِبة قد جلا</w:t>
      </w:r>
      <w:r>
        <w:rPr>
          <w:rStyle w:val="FootnoteAnchor"/>
          <w:rtl w:val="true"/>
        </w:rPr>
        <w:footnoteReference w:id="496"/>
      </w:r>
      <w:r>
        <w:rPr>
          <w:rFonts w:ascii="Amiri" w:hAnsi="Amiri" w:eastAsia="Amiri" w:cs="Amiri"/>
          <w:color w:val="111111"/>
          <w:sz w:val="28"/>
          <w:sz w:val="28"/>
          <w:szCs w:val="28"/>
          <w:rtl w:val="true"/>
          <w:lang w:bidi="ar-SA"/>
        </w:rPr>
        <w:t>عنها أهلها فالذي وجد المال أحقّ به</w:t>
      </w:r>
      <w:r>
        <w:rPr>
          <w:rFonts w:eastAsia="Amiri" w:cs="Amiri" w:ascii="Amiri" w:hAnsi="Amiri"/>
          <w:color w:val="111111"/>
          <w:sz w:val="28"/>
          <w:szCs w:val="28"/>
          <w:rtl w:val="true"/>
          <w:lang w:bidi="ar-SA"/>
        </w:rPr>
        <w:t>)</w:t>
      </w:r>
    </w:p>
    <w:p>
      <w:pPr>
        <w:pStyle w:val="BookText"/>
        <w:rPr/>
      </w:pP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الحسين بن سعيد، عن فضالة بن</w:t>
      </w:r>
    </w:p>
    <w:p>
      <w:pPr>
        <w:pStyle w:val="BookText"/>
        <w:rPr/>
      </w:pPr>
      <w:r>
        <w:rPr>
          <w:rFonts w:ascii="Amiri" w:hAnsi="Amiri" w:eastAsia="Amiri" w:cs="Amiri"/>
          <w:color w:val="111111"/>
          <w:sz w:val="28"/>
          <w:sz w:val="28"/>
          <w:szCs w:val="28"/>
          <w:rtl w:val="true"/>
          <w:lang w:bidi="ar-SA"/>
        </w:rPr>
        <w:t xml:space="preserve">أيّوب </w:t>
      </w:r>
      <w:r>
        <w:rPr>
          <w:rStyle w:val="FootnoteAnchor"/>
          <w:rtl w:val="true"/>
        </w:rPr>
        <w:footnoteReference w:id="498"/>
      </w:r>
      <w:r>
        <w:rPr>
          <w:rFonts w:ascii="Amiri" w:hAnsi="Amiri" w:eastAsia="Amiri" w:cs="Amiri"/>
          <w:color w:val="111111"/>
          <w:sz w:val="28"/>
          <w:sz w:val="28"/>
          <w:szCs w:val="28"/>
          <w:rtl w:val="true"/>
          <w:lang w:bidi="ar-SA"/>
        </w:rPr>
        <w:t>عن العلاء، عن محمّد بن مُسلم، عن أحدهما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الوَرِق يوجد في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معمورة فهي لأهلها، فإن كانت خربة فأنت أحقّ بما وجدت</w:t>
      </w:r>
      <w:r>
        <w:rPr>
          <w:rFonts w:eastAsia="Amiri" w:cs="Amiri" w:ascii="Amiri" w:hAnsi="Amiri"/>
          <w:color w:val="111111"/>
          <w:sz w:val="28"/>
          <w:szCs w:val="28"/>
          <w:rtl w:val="true"/>
          <w:lang w:bidi="ar-SA"/>
        </w:rPr>
        <w:t>)</w:t>
      </w:r>
    </w:p>
    <w:p>
      <w:pPr>
        <w:pStyle w:val="BookText"/>
        <w:rPr/>
      </w:pP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اتّحادهما، و لا تقصر دلالتها عن الموثّقة لو لم تكن أدلّ منها، و يُستفاد منها قانون كلي و قاعدة سيّارة؛ ضرورة عدم دخالة الوَرِق و لا الدار في ذلك عُرفاً، بل المتفاهم منها أنَّ تمام الموضوع للحكم هو الاستيلاء، و كون الوَرِق في الدار تحت يد صاحبها، فما هو الموضوع كون الشي‌ء تحت اليد، و تستفاد منها الأماريّة، كما ذكرنا في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صحيحة عبد الرحمن بن الحجّاج المنقولة في كتاب الميراث، باب ميراث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عن عليّ بن إبراهيم، عن أبيه، و عن محمّد بن إسماعيل </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الفضل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جميعاً عن</w:t>
      </w:r>
    </w:p>
    <w:p>
      <w:pPr>
        <w:pStyle w:val="BookText"/>
        <w:rPr/>
      </w:pPr>
      <w:r>
        <w:rPr>
          <w:rFonts w:ascii="Amiri" w:hAnsi="Amiri" w:eastAsia="Amiri" w:cs="Amiri"/>
          <w:color w:val="111111"/>
          <w:sz w:val="28"/>
          <w:sz w:val="28"/>
          <w:szCs w:val="28"/>
          <w:rtl w:val="true"/>
          <w:lang w:bidi="ar-SA"/>
        </w:rPr>
        <w:t>ابن أبي عُمير</w:t>
      </w:r>
      <w:r>
        <w:rPr>
          <w:rStyle w:val="FootnoteAnchor"/>
          <w:rtl w:val="true"/>
        </w:rPr>
        <w:footnoteReference w:id="502"/>
      </w:r>
      <w:r>
        <w:rPr>
          <w:rFonts w:ascii="IRNazanin" w:hAnsi="IRNazanin" w:eastAsia="IRNazanin"/>
          <w:color w:val="111111"/>
          <w:sz w:val="28"/>
          <w:sz w:val="28"/>
          <w:szCs w:val="28"/>
          <w:rtl w:val="true"/>
          <w:lang w:bidi="fa-IR"/>
        </w:rPr>
        <w:t xml:space="preserve">عن عبد الرحمن بن الحجّاج </w:t>
      </w:r>
      <w:r>
        <w:rPr>
          <w:rStyle w:val="FootnoteAnchor"/>
          <w:rtl w:val="true"/>
        </w:rPr>
        <w:footnoteReference w:id="503"/>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سألني هل يقضي ابن أبي ليلى </w:t>
      </w:r>
      <w:r>
        <w:rPr>
          <w:rStyle w:val="FootnoteAnchor"/>
          <w:rtl w:val="true"/>
        </w:rPr>
        <w:footnoteReference w:id="504"/>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xml:space="preserve">، الكنى و الألقاب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بالقضاء ثمّ يرجع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قضى بعد ذلك بقضاء لو لا أنّي شهدته لم أروه عليه، ماتت امرأة منّا و لها زوج، و تركت متاعاً فرفعته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المتاع، فلمّا قرأه 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يكون للرجال و المرأة فقد جعلناه للمرأة إلّا الميزان فإنَّه من متاع الرجل، 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أيّ شي‌ءٍ هو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أن قال بقول إبراهيم النخعيّ </w:t>
      </w:r>
      <w:r>
        <w:rPr>
          <w:rStyle w:val="FootnoteAnchor"/>
          <w:rtl w:val="true"/>
        </w:rPr>
        <w:footnoteReference w:id="505"/>
      </w:r>
      <w:r>
        <w:rPr>
          <w:rFonts w:ascii="Amiri" w:hAnsi="Amiri" w:eastAsia="Amiri" w:cs="Amiri"/>
          <w:color w:val="111111"/>
          <w:sz w:val="28"/>
          <w:sz w:val="28"/>
          <w:szCs w:val="28"/>
          <w:rtl w:val="true"/>
          <w:lang w:bidi="ar-SA"/>
        </w:rPr>
        <w:t>أن جعل البيت للرجل، ثمّ سألته عن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الذي أخبرتني أنّك شهدته، و إن كان قد رجع عنه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المتاع للمرأة؟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إن أقامت بيّنة إلى كم كانت تحتاج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سألت مَنْ بين لابتيها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الجبلين و نحن يومئذٍ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لأخبروك أنَّ الجهاز و المتاع يهدى علانية من بيت المرأة إلى بيت زوجها، فهي التي جاءت به، فإن زعم أنَّه أحدث فيه شيئاً فليأت عليه البيّنة</w:t>
      </w:r>
      <w:r>
        <w:rPr>
          <w:rFonts w:eastAsia="Amiri" w:cs="Amiri" w:ascii="Amiri" w:hAnsi="Amiri"/>
          <w:color w:val="111111"/>
          <w:sz w:val="28"/>
          <w:szCs w:val="28"/>
          <w:rtl w:val="true"/>
          <w:lang w:bidi="ar-SA"/>
        </w:rPr>
        <w:t>)</w:t>
      </w:r>
    </w:p>
    <w:p>
      <w:pPr>
        <w:pStyle w:val="BookText"/>
        <w:rPr/>
      </w:pP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إخبار من بين لابتيها بأنَّ الجهاز للمرأة مستنداً إلى أنَّه يهدى من بيتها ليس إلّا من قبل اليد و الاستيلاء،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متاع البيت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 إليها و إلى استصحابها، و الظاهر منها كونها أمارة؛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المتاع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لإرجاعه إلى شهادة من بين لابتيها، و لا يكون إخبارهم إلّا عن الواقع؛ لقيام الأمارة العقلائيّة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بن صالح المنقولة في كتاب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عدّة من أصحابنا، عن سهل بن زياد</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روى عنه محمّد بن الحسن الصفّار، و محمّد بن يحيى، و محمّد بن الحسين بن أبي الخطاب، و علي بن محمّد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رجال بحر العلوم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أحمد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عن ابن محبوب، عن جميل بن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وجد في منزله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منزله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وجد في صندوقه ديناراً؟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أحد يده في صندوقه غيره أو يضع فيه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w:t>
      </w:r>
    </w:p>
    <w:p>
      <w:pPr>
        <w:pStyle w:val="BookText"/>
        <w:rPr/>
      </w:pP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منها أنَّه سأل عمّن وجد في منزله أو صندوقه ديناراً، و لم يعلم صاحبه، و كانت شبهته في أنَّ مجرّد وجدانه في منزله أو صندوقه مع جهل صاحب اليد يكفي للحكم بأنَّه له أو لا فحكم بأنَّ ما في الصندوق له، و فيما إذا دخل في بيته غيره أشخاص كثيرون بأنَّه 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موافق للقاعدة؛ لأنَّ المنازل التي هي معرض المراودة كثيراً لا تكون يد صاحبها بالنسبة إلى مثل الدينار المُلقى أمارة عقلائيّة، بل الظاهر أنَّ مثله لم يكن تحت يده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الدخول قليلًا، أو كان الشي‌ء مثل متاع البيت تكون اليد أمارة، و لم يتّضح من استفساره بأن يدخل في داره غيره، لو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يدخل فيها غيره هل يفصّل بين القليل و الكثير أولا؟ فلم يتعرّض لحكم ما إذا دخل في المنزل غيره نادراً، فهو على طبق القاعدة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الصندوق غير الدار، فإن أدخل أحدٌ يده فيه و وضع فيه شيئاً يخرج عن الاختصاص، و يصير مُشتركاً في الاستيلاء، فلا يحكم بأنَّ الدينار</w:t>
      </w:r>
    </w:p>
    <w:p>
      <w:pPr>
        <w:pStyle w:val="BookText"/>
        <w:rPr/>
      </w:pPr>
      <w:r>
        <w:rPr>
          <w:rFonts w:ascii="Amiri" w:hAnsi="Amiri" w:eastAsia="Amiri" w:cs="Amiri"/>
          <w:color w:val="111111"/>
          <w:sz w:val="28"/>
          <w:sz w:val="28"/>
          <w:szCs w:val="28"/>
          <w:rtl w:val="true"/>
          <w:lang w:bidi="ar-SA"/>
        </w:rPr>
        <w:t>لصاحب الصندوق بمُجرّد كونه صندوقه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فالصحيحة دالّة على اعتبار اليد و أماريّتها بالتقريب المُتقدّم، و سيأتي التعرّض لحكم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الثانية؛ أي ما تدلّ على اعتبار اليد دون الدلالة على أماريّتها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العيص بن القاسم </w:t>
      </w:r>
      <w:r>
        <w:rPr>
          <w:rStyle w:val="FootnoteAnchor"/>
          <w:rtl w:val="true"/>
        </w:rPr>
        <w:footnoteReference w:id="509"/>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الفهرست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المنقولة في بيع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الحسين بن سعيد، عن صفوان بن يحيى </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العيص بن القاسم، عن أبي عبد اللَّه عليه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ادّعى أنَّه حرّ، و لم يأتِ ببيّنةٍ على ذلك، أشتريه؟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حسنة حمزة بن حمران </w:t>
      </w:r>
      <w:r>
        <w:rPr>
          <w:rStyle w:val="FootnoteAnchor"/>
          <w:rtl w:val="true"/>
        </w:rPr>
        <w:footnoteReference w:id="512"/>
      </w:r>
      <w:r>
        <w:rPr>
          <w:rFonts w:ascii="Amiri" w:hAnsi="Amiri" w:eastAsia="Amiri" w:cs="Amiri"/>
          <w:color w:val="111111"/>
          <w:sz w:val="28"/>
          <w:sz w:val="28"/>
          <w:szCs w:val="28"/>
          <w:rtl w:val="true"/>
          <w:lang w:bidi="ar-SA"/>
        </w:rPr>
        <w:t>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السوق و اريد أشتري جارية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اشترها إلّا أن تكون لها بيّنة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المُكاتبة المنقولة في كتاب إحياء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عن محمَّد بن يحيى </w:t>
      </w:r>
      <w:r>
        <w:rPr>
          <w:rStyle w:val="FootnoteAnchor"/>
          <w:rtl w:val="true"/>
        </w:rPr>
        <w:footnoteReference w:id="514"/>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11501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رحى على نهر قرية، و القرية لرجل، فأراد صاحب القرية أن يسوق إلى قريته الماء في غير هذا النهر، و يعطّل هذه الرحى، أ لَه ذلك أم لا؟</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يتّقي اللَّه و يعمل في ذلك بالمعروف، و لا يضرّ أخاه المؤمن</w:t>
      </w:r>
      <w:r>
        <w:rPr>
          <w:rFonts w:eastAsia="Amiri" w:cs="Amiri" w:ascii="Amiri" w:hAnsi="Amiri"/>
          <w:color w:val="111111"/>
          <w:sz w:val="28"/>
          <w:szCs w:val="28"/>
          <w:rtl w:val="true"/>
          <w:lang w:bidi="ar-SA"/>
        </w:rPr>
        <w:t>)</w:t>
      </w:r>
    </w:p>
    <w:p>
      <w:pPr>
        <w:pStyle w:val="BookText"/>
        <w:rPr/>
      </w:pP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شبهته إنّما هي في أنَّ مثل هذه اليد على نهر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 استفادة دوران الرحى مع العلم بأنَّ الماء لصاحب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مُعتبرة و مُثبتة لحقّ عليه أولا؟</w:t>
      </w:r>
    </w:p>
    <w:p>
      <w:pPr>
        <w:pStyle w:val="BookText"/>
        <w:rPr/>
      </w:pPr>
      <w:r>
        <w:rPr>
          <w:rFonts w:ascii="Amiri" w:hAnsi="Amiri" w:eastAsia="Amiri" w:cs="Amiri"/>
          <w:color w:val="111111"/>
          <w:sz w:val="28"/>
          <w:sz w:val="28"/>
          <w:szCs w:val="28"/>
          <w:rtl w:val="true"/>
          <w:lang w:bidi="ar-SA"/>
        </w:rPr>
        <w:t>و الجواب و إن كان بنحو الوعظ، لكن يُستفاد منه عدم الجواز، و لا يجوز رفع اليد عن هذا الظاهر بمجرّد كون البيان مشفوعاً بالوعظ، مع أنَّ الأمر بالتقوى و النهي عن الإضرار يؤكّدان ذلك،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يعمل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هو حكم العُقلاء؛ من كون اليد أمارة على ثبوت الحقّ، فيمكن أن يدّعى أنّها من القسم الأوّل، لكن للتأمّل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صحيح، عن أبي عبد اللَّه عليه السلام، المنقول في كتاب القضاء أبواب كيفيّة الحكم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w:t>
      </w:r>
    </w:p>
    <w:p>
      <w:pPr>
        <w:pStyle w:val="BookText"/>
        <w:rPr/>
      </w:pPr>
      <w:r>
        <w:rPr>
          <w:rFonts w:ascii="Amiri" w:hAnsi="Amiri" w:eastAsia="Amiri" w:cs="Amiri"/>
          <w:color w:val="111111"/>
          <w:sz w:val="28"/>
          <w:sz w:val="28"/>
          <w:szCs w:val="28"/>
          <w:rtl w:val="true"/>
          <w:lang w:bidi="ar-SA"/>
        </w:rPr>
        <w:t xml:space="preserve">عن ابن أبي عمير، عن عثمان بن عيسى </w:t>
      </w:r>
      <w:r>
        <w:rPr>
          <w:rStyle w:val="FootnoteAnchor"/>
          <w:rtl w:val="true"/>
        </w:rPr>
        <w:footnoteReference w:id="516"/>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517"/>
      </w:r>
      <w:r>
        <w:rPr>
          <w:rFonts w:ascii="Amiri" w:hAnsi="Amiri" w:eastAsia="Amiri" w:cs="Amiri"/>
          <w:color w:val="111111"/>
          <w:sz w:val="28"/>
          <w:sz w:val="28"/>
          <w:szCs w:val="28"/>
          <w:rtl w:val="true"/>
          <w:lang w:bidi="ar-SA"/>
        </w:rPr>
        <w:t>جميعاً عن أبي عبد اللَّه عليه السلام في حديث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أمير المؤمنين عليه السلام قال لأبى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تحكم فينا بخلاف حكم اللَّه في المُسلمين؟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شي‌ء يملكونه ادّعيت أنا فيه، من تسأل البيّنة؟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أسأل البيّنة على ما تدّعيه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يدى شي‌ء، فادّعى فيه المُسلمون، تسألني البيّنة على ما في يدي، و قد ملكته في حياة رسول اللَّه و بعده، و لم تسأل البيّنة على ما ادّعوا عليَّ كما سألتني البيّنة على ما ادّعيت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و اليمين على من أنكر</w:t>
      </w:r>
      <w:r>
        <w:rPr>
          <w:rFonts w:eastAsia="Amiri" w:cs="Amiri" w:ascii="Amiri" w:hAnsi="Amiri"/>
          <w:color w:val="111111"/>
          <w:sz w:val="28"/>
          <w:szCs w:val="28"/>
          <w:rtl w:val="true"/>
          <w:lang w:bidi="ar-SA"/>
        </w:rPr>
        <w:t>)</w:t>
      </w:r>
    </w:p>
    <w:p>
      <w:pPr>
        <w:pStyle w:val="BookText"/>
        <w:rPr/>
      </w:pP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ظهوره في اعتبار اليد واضح، لكن في دلالته على الأماريّة إشكال، و إن لا يبعد دعواها،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 يد المُسلمين شي‌ء يملكونه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يملكونه واقعاً بدلالة اليد على الملكيّة؛ أي إذا كان شي‌ء تحت يد المُسلمين، و كانوا مالكين له؛ لأجل دلالة اليد، و ادّعيت أنا من تسأل البيّنة؟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عن إشعار بل دلالة ما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توهم الأصليّة، رواية حفص المنقولة في الباب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عن عليّ بن إبراهيم، عن أبيه، و عليّ بن محمّد القاسانيّ </w:t>
      </w:r>
      <w:r>
        <w:rPr>
          <w:rStyle w:val="FootnoteAnchor"/>
          <w:rtl w:val="true"/>
        </w:rPr>
        <w:footnoteReference w:id="519"/>
      </w:r>
      <w:r>
        <w:rPr>
          <w:rFonts w:ascii="Amiri" w:hAnsi="Amiri" w:eastAsia="Amiri" w:cs="Amiri"/>
          <w:color w:val="111111"/>
          <w:sz w:val="28"/>
          <w:sz w:val="28"/>
          <w:szCs w:val="28"/>
          <w:rtl w:val="true"/>
          <w:lang w:bidi="ar-SA"/>
        </w:rPr>
        <w:t xml:space="preserve">جميعاً عن القاسم بن يحيى </w:t>
      </w:r>
      <w:r>
        <w:rPr>
          <w:rStyle w:val="FootnoteAnchor"/>
          <w:rtl w:val="true"/>
        </w:rPr>
        <w:footnoteReference w:id="520"/>
      </w:r>
      <w:r>
        <w:rPr>
          <w:rFonts w:ascii="Amiri" w:hAnsi="Amiri" w:eastAsia="Amiri" w:cs="Amiri"/>
          <w:color w:val="111111"/>
          <w:sz w:val="28"/>
          <w:sz w:val="28"/>
          <w:szCs w:val="28"/>
          <w:rtl w:val="true"/>
          <w:lang w:bidi="ar-SA"/>
        </w:rPr>
        <w:t>عن سليمان بن داود</w:t>
      </w:r>
      <w:r>
        <w:rPr>
          <w:rStyle w:val="FootnoteAnchor"/>
          <w:rtl w:val="true"/>
        </w:rPr>
        <w:footnoteReference w:id="521"/>
      </w:r>
      <w:r>
        <w:rPr>
          <w:rFonts w:ascii="Amiri" w:hAnsi="Amiri" w:eastAsia="Amiri" w:cs="Amiri"/>
          <w:color w:val="111111"/>
          <w:sz w:val="28"/>
          <w:sz w:val="28"/>
          <w:szCs w:val="28"/>
          <w:rtl w:val="true"/>
          <w:lang w:bidi="ar-SA"/>
        </w:rPr>
        <w:t xml:space="preserve">عن حفص بن غياث </w:t>
      </w:r>
      <w:r>
        <w:rPr>
          <w:rStyle w:val="FootnoteAnchor"/>
          <w:rtl w:val="true"/>
        </w:rPr>
        <w:footnoteReference w:id="52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شيئاً في يدي رجل يجوز لي أن أشهد أنَّه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في يده و لا أشهد أنَّه له، فلعلّه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فيحلّ الشراء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 لغيره، فَمِن أين جاز لك أن تشتريه و يصير ملكاً لك ثمّ تقول بعد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و تحلف عليه، و لا يجوز أن تنسبه إلى من صار ملكه من قبله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يتوهّم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يجز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أنَّ اعتبار اليد إنّما هو من أجل قيام سوق المُسلمين، و حفظ النظام، و إدارة رحى الحياة، لا لكشفها عن الملكيّة</w:t>
      </w:r>
    </w:p>
    <w:p>
      <w:pPr>
        <w:pStyle w:val="BookText"/>
        <w:rPr/>
      </w:pPr>
      <w:r>
        <w:rPr>
          <w:rFonts w:ascii="Amiri" w:hAnsi="Amiri" w:eastAsia="Amiri" w:cs="Amiri"/>
          <w:color w:val="111111"/>
          <w:sz w:val="28"/>
          <w:sz w:val="28"/>
          <w:szCs w:val="28"/>
          <w:rtl w:val="true"/>
          <w:lang w:bidi="ar-SA"/>
        </w:rPr>
        <w:t>الواقعيّة</w:t>
      </w:r>
      <w:r>
        <w:rPr>
          <w:rStyle w:val="FootnoteAnchor"/>
          <w:rtl w:val="true"/>
        </w:rPr>
        <w:footnoteReference w:id="524"/>
      </w:r>
      <w:r>
        <w:rPr>
          <w:rFonts w:ascii="Amiri" w:hAnsi="Amiri" w:eastAsia="Amiri" w:cs="Amiri"/>
          <w:color w:val="111111"/>
          <w:sz w:val="28"/>
          <w:sz w:val="28"/>
          <w:szCs w:val="28"/>
          <w:rtl w:val="true"/>
          <w:lang w:bidi="ar-SA"/>
        </w:rPr>
        <w:t>، لكنّه فاسد يتّضح فساده بعد بيان 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لي أن أشهد أنَّه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أنَّه تجوز لي الشهادة بالنسبة إليه كما تجوز لي في سائر الامور؟ أي كما أنّي أشهد أنَّ الشمس طالعة، و الفجر طالع، و زيد؛ عالم، و عمراً شجاع، إلى غير ذلك ممّا تتعلّق به الشهادة، هل يجوز لي أن أشهد بذلك أيضاً؟</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لي الشهادة بذلك كالشهادة بسائر الموضوعات؟</w:t>
      </w:r>
    </w:p>
    <w:p>
      <w:pPr>
        <w:pStyle w:val="BookText"/>
        <w:rPr/>
      </w:pPr>
      <w:r>
        <w:rPr>
          <w:rFonts w:ascii="Amiri" w:hAnsi="Amiri" w:eastAsia="Amiri" w:cs="Amiri"/>
          <w:color w:val="111111"/>
          <w:sz w:val="28"/>
          <w:sz w:val="28"/>
          <w:szCs w:val="28"/>
          <w:rtl w:val="true"/>
          <w:lang w:bidi="ar-SA"/>
        </w:rPr>
        <w:t>و لا شكّ أنَّ الشهادة فيها إنّما تتعلّق بالواقع، فالسؤال إنّما هو عن جواز الشهادة بالملكية الواقعيّة بمحض كون الشي‌ء في يدي رجل، فأجاب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أشهد به إنّما هو كونه في يده، لا أنَّه ملكه، فكيف تجوز لي الشهادة بالملكيّة الواقعيّة له مع الشكّ فيه، فأرجعه إلى ارتكازه بطريق النقض، و أنه كما يجوز الشراء منه و الحلف على الملكيّة بعد الشراء مع أنَّ ملكيّته إنّما جاءت من قبله، و لا يجوز الحلف إلّا مع الجزم بالملكيّة، كذلك تجوز الشهادة بكونه له، فاستدلاله عليه السلام لم يكن استدلالًا بحكم شرعيّ، بل بارتكاز عرفيّ، و بناء عقلائيّ،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لو منع الشارع من هذا الأمر الذي مدار سوق المُسلمين عليه يختلّ النظام، لا أنَّ تجويز الشارع ذلك إنّما هو لقيام السوق، حتّى تتوهّم منه الأصليّة</w:t>
      </w:r>
      <w:r>
        <w:rPr>
          <w:rStyle w:val="FootnoteAnchor"/>
          <w:rtl w:val="true"/>
        </w:rPr>
        <w:footnoteReference w:id="525"/>
      </w:r>
      <w:r>
        <w:rPr>
          <w:rFonts w:ascii="Amiri" w:hAnsi="Amiri" w:eastAsia="Amiri" w:cs="Amiri"/>
          <w:color w:val="111111"/>
          <w:sz w:val="28"/>
          <w:sz w:val="28"/>
          <w:szCs w:val="28"/>
          <w:rtl w:val="true"/>
          <w:lang w:bidi="ar-SA"/>
        </w:rPr>
        <w:t>، فدلالتها حينئذٍ على الأماريّة لا تقصر عن غيرها بعد التأمّل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الرواية أنَّه لو لم تجز الشهادة لم يقم للمُسلمين سوق، فربّما يستشكل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جواز الشهادة لا يوجب الاختلال، كما لا يخفى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الشهادة أو عدم 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احتمال كونه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w:t>
      </w:r>
    </w:p>
    <w:p>
      <w:pPr>
        <w:pStyle w:val="BookText"/>
        <w:rPr/>
      </w:pPr>
      <w:r>
        <w:rPr>
          <w:rFonts w:ascii="Amiri" w:hAnsi="Amiri" w:eastAsia="Amiri" w:cs="Amiri"/>
          <w:color w:val="111111"/>
          <w:sz w:val="28"/>
          <w:sz w:val="28"/>
          <w:szCs w:val="28"/>
          <w:rtl w:val="true"/>
          <w:lang w:bidi="ar-SA"/>
        </w:rPr>
        <w:t>الاعتناء بهذا الاحتمال، و عدم اعتبار اليد، و هو مُساوق لعدم جواز الشراء و سائر ما يترتّب على اليد، و هو مُوجب لاختلال سوق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كما تدلّ على اعتبار اليد تدلّ على أماريّتها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مسعدة بن صدقة المنقولة في أبواب ما يكتسب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عن عليّ بن إبراهيم، عن هارون بن مُسلم </w:t>
      </w:r>
      <w:r>
        <w:rPr>
          <w:rStyle w:val="FootnoteAnchor"/>
          <w:rtl w:val="true"/>
        </w:rPr>
        <w:footnoteReference w:id="526"/>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مسعدة بن صدقة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أبو محمّد العبدي من أصحاب الإمامين الصادق و الكاظم عليهما السلام، روى عنه هارون بن مسلم، و جعفر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 و ذلك مثل الثوب يكون عليك قد اشتريته و هو سرقة، و المملوك عندك لعلّه حرّ قد باع نفسه، أو خُدع فبيع قهراً، أو امرأة تحتك و هي اختك أو رضيعتك، و الأشياء كلّها على هذا حتّى يستبين لك غير هذا، أو تقوم به البيّنة</w:t>
      </w:r>
      <w:r>
        <w:rPr>
          <w:rFonts w:eastAsia="Amiri" w:cs="Amiri" w:ascii="Amiri" w:hAnsi="Amiri"/>
          <w:color w:val="111111"/>
          <w:sz w:val="28"/>
          <w:szCs w:val="28"/>
          <w:rtl w:val="true"/>
          <w:lang w:bidi="ar-SA"/>
        </w:rPr>
        <w:t>)</w:t>
      </w:r>
    </w:p>
    <w:p>
      <w:pPr>
        <w:pStyle w:val="BookText"/>
        <w:rPr/>
      </w:pP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هي عمدة ما يمكن أن يستدلّ بها لأصليّة اليد؛ حيث إنَّ الظاهر من صدرها و ذيلها هو ترتيب آثار الحلّية على المشكوك فيه إلى أن يعلم خلافه، و لقد مثّل لذلك بمثل الثوب و المملوك اللّذين تحت اليد، فيجب ترتيب آثار الملكيّة عليهما إلى أن يعلم الخلاف، و هذا معنى الأصل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بل المُتعيّن كون هذه الأمثلة من قبيل التنظير، لا بيان المصداق؛ ضرورة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تمام الموضوع للحلّية إنّما هو كون الشي‌ء مشكوكاً فيه؛ أي إذا لم يدلّ دليل على حلّية الشي‌ء و لا على حرمته،</w:t>
      </w:r>
    </w:p>
    <w:p>
      <w:pPr>
        <w:pStyle w:val="BookText"/>
        <w:rPr/>
      </w:pPr>
      <w:r>
        <w:rPr>
          <w:rFonts w:ascii="Amiri" w:hAnsi="Amiri" w:eastAsia="Amiri" w:cs="Amiri"/>
          <w:color w:val="111111"/>
          <w:sz w:val="28"/>
          <w:sz w:val="28"/>
          <w:szCs w:val="28"/>
          <w:rtl w:val="true"/>
          <w:lang w:bidi="ar-SA"/>
        </w:rPr>
        <w:t>و يكون مشكوكاً فيه فهو حلال، فموضوع الحليّة هو كون الشي‌ء مشكوكاً فيه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ليس موضوع الحلّية في تلك الأمثلة هو الشكّ و فقدان الدليل على أحد طرفي الشكّ؛ ضرورة أنَّ اليد في قاعدتها دخيلة في الحكم، بل هي تمام الموضوع له من غير دخالة الشكّ فيه، و الشكّ إنّما هو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الشكّ في نفسه موضوعاً للحكم بحلّية ما في اليد، سواءً قلنا بأماريّة اليد أو أصليتها، و كذا في الشكّ في كون المرأة رضيعة أو اختاً ليس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للحكم بالحليّة، بل الحكم لاستصحاب عدم حصول الرضاع، و استصحاب عدم تحقّق نسبة الاختيّة لو قيل بجريانه، و إلّا فمن أصالة الصحّة في فعل الغير و قاعدة التجاوز و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الأمثلة المذكورة في الرواية مثالًا و مصداقاً مُنطبقاً عليها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إلّا أن يحمل على التنظير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مشكوك فيه فهو حلال، مثل ما لو دلّ الدليل على الحليّة، فكما أنَّ الحليّة ثابتة للشي‌ء مع قيام الدليل عليها، كذلك للشي‌ء المشكوك فيه بما أنَّه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عليه السلام كان بصدد رفع وسوسة بعض أصحاب الوسوسة، حتّى لا يأخذهم الوسواس في المشكوك فيه، فذكر أوّلًا قاعدة كلّية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لك حلال حتّى تعلم أنَّه 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يكتف بذلك حتّى أكّده بأنَّه لا فرق في الحليّة بين أن يقوم الدليل على الحليّة، أو يكون الموضوع مشكوكاً فيه، فمثّل بأمثلة بعضها ارتكازيّة عُقلائيّة، و بعضها شرعيّة، ثمّ لم يكتف به حتّى أكّده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الأشياء كلّها على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اليد أمارة سواءً كان مأخذها الأخبار، أو بناء العقلاء، فاتّضح وجه تقدّمها على الاستصحاب؛ فإنَّه بالحكومة إن كان المُستند هو الأخبار، و بالتخصّص إن كان بناء العقلاء</w:t>
      </w:r>
      <w:r>
        <w:rPr>
          <w:rFonts w:eastAsia="Amiri" w:cs="Amiri" w:ascii="Amiri" w:hAnsi="Amiri"/>
          <w:color w:val="111111"/>
          <w:sz w:val="28"/>
          <w:szCs w:val="28"/>
          <w:rtl w:val="true"/>
          <w:lang w:bidi="ar-SA"/>
        </w:rPr>
        <w:t>.</w:t>
      </w:r>
      <w:bookmarkStart w:id="417" w:name="pg2245_13027"/>
    </w:p>
    <w:p>
      <w:pPr>
        <w:pStyle w:val="Heading4"/>
        <w:numPr>
          <w:ilvl w:val="3"/>
          <w:numId w:val="1"/>
        </w:numPr>
        <w:rPr/>
      </w:pPr>
      <w:bookmarkStart w:id="418" w:name="__RefHeading___Toc1614185_3804643083"/>
      <w:bookmarkStart w:id="419" w:name="_Toc153"/>
      <w:bookmarkEnd w:id="417"/>
      <w:bookmarkEnd w:id="418"/>
      <w:r>
        <w:rPr>
          <w:rtl w:val="true"/>
        </w:rPr>
        <w:t>الجهة الثالثة حكم اليد على المنفعة</w:t>
      </w:r>
      <w:bookmarkEnd w:id="419"/>
    </w:p>
    <w:p>
      <w:pPr>
        <w:pStyle w:val="BookText"/>
        <w:rPr/>
      </w:pPr>
      <w:r>
        <w:rPr>
          <w:rFonts w:ascii="Amiri" w:hAnsi="Amiri" w:eastAsia="Amiri" w:cs="Amiri"/>
          <w:color w:val="111111"/>
          <w:sz w:val="28"/>
          <w:sz w:val="28"/>
          <w:szCs w:val="28"/>
          <w:rtl w:val="true"/>
          <w:lang w:bidi="ar-SA"/>
        </w:rPr>
        <w:t>الجهة الثالثة حكم اليد على المنفعة</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أنَّ الاستيلاء على الأعيان معلوم، و هل الاستيلاء على المنافع يكون بالاستيلاء على الأعيان؟ أو يكون الاستيلاء عليها في عَرْض الاستيلاء على الأعيان </w:t>
      </w:r>
      <w:r>
        <w:rPr>
          <w:rStyle w:val="FootnoteAnchor"/>
          <w:rtl w:val="true"/>
        </w:rPr>
        <w:footnoteReference w:id="529"/>
      </w:r>
      <w:r>
        <w:rPr>
          <w:rFonts w:ascii="Amiri" w:hAnsi="Amiri" w:eastAsia="Amiri" w:cs="Amiri"/>
          <w:color w:val="111111"/>
          <w:sz w:val="28"/>
          <w:sz w:val="28"/>
          <w:szCs w:val="28"/>
          <w:rtl w:val="true"/>
          <w:lang w:bidi="ar-SA"/>
        </w:rPr>
        <w:t>، أو يكون الاستيلاء على الأعيان فقط، لكنّ مُقتضاه ملكيّة العين و منافعها؟ أو يكون مُقتضاه ملكيّة العين فقط، و تكون ملكيّة المنافع تبعاً لملكيّة العين؛ أي يكون مُقتضى اليد ملكيّة العين، و مُقتضى ملكيّة العين ملكيّة المنافع إلى أن يعلم خلافها</w:t>
      </w:r>
      <w:r>
        <w:rPr>
          <w:rStyle w:val="FootnoteAnchor"/>
          <w:rtl w:val="true"/>
        </w:rPr>
        <w:footnoteReference w:id="530"/>
      </w:r>
      <w:r>
        <w:rPr>
          <w:rFonts w:ascii="Amiri" w:hAnsi="Amiri" w:eastAsia="Amiri" w:cs="Amiri"/>
          <w:color w:val="111111"/>
          <w:sz w:val="28"/>
          <w:sz w:val="28"/>
          <w:szCs w:val="28"/>
          <w:rtl w:val="true"/>
          <w:lang w:bidi="ar-SA"/>
        </w:rPr>
        <w:t>أو ليست اليد على المنافع، و ليست ظاهرة في ملكيّة المنافع أيضاً مطلقاً</w:t>
      </w:r>
      <w:r>
        <w:rPr>
          <w:rStyle w:val="FootnoteAnchor"/>
          <w:rtl w:val="true"/>
        </w:rPr>
        <w:footnoteReference w:id="531"/>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الأقوى هو الوجه الأوّل، فإنَّ الاستيلاء على العين أوّلًا و بالذات، و على المنافع بتبع العين، فتكون اليد على المنافع باليد على العين، كما أنَّ تسليم المنافع بتسليم العين في باب الإجارة عند العقلاء، لو قلنا بأنَّ حقيقة الإجارة عبارة عن تمليك المنافع </w:t>
      </w:r>
      <w:r>
        <w:rPr>
          <w:rStyle w:val="FootnoteAnchor"/>
          <w:rtl w:val="true"/>
        </w:rPr>
        <w:footnoteReference w:id="532"/>
      </w:r>
      <w:r>
        <w:rPr>
          <w:rFonts w:ascii="Amiri" w:hAnsi="Amiri" w:eastAsia="Amiri" w:cs="Amiri"/>
          <w:color w:val="111111"/>
          <w:sz w:val="28"/>
          <w:sz w:val="28"/>
          <w:szCs w:val="28"/>
          <w:rtl w:val="true"/>
          <w:lang w:bidi="ar-SA"/>
        </w:rPr>
        <w:t xml:space="preserve">، لا التسليط على العين للانتفاع </w:t>
      </w:r>
      <w:r>
        <w:rPr>
          <w:rStyle w:val="FootnoteAnchor"/>
          <w:rtl w:val="true"/>
        </w:rPr>
        <w:footnoteReference w:id="533"/>
      </w:r>
      <w:r>
        <w:rPr>
          <w:rFonts w:ascii="Amiri" w:hAnsi="Amiri" w:eastAsia="Amiri" w:cs="Amiri"/>
          <w:color w:val="111111"/>
          <w:sz w:val="28"/>
          <w:sz w:val="28"/>
          <w:szCs w:val="28"/>
          <w:rtl w:val="true"/>
          <w:lang w:bidi="ar-SA"/>
        </w:rPr>
        <w:t xml:space="preserve">، و لا إضافة بين العين و المُستأجر، مُستتبعة لمالكيّة المنافع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المنافع معدومة، لا يعقل وقوعها تحت اليد؛ لأنَّ الإضافة بين الموجود و المعدوم غير معقولة، فالاستيلاء نحو إضافة بين المستولي و المستولى عليه، و الإضافة الفعليّة لا بدّ فيها من مُضاف و مُضاف إليه فعليّين، فلا تتحقّق بين المعدومين، و لا بين موجود و معدوم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لا يصغى إليه في الامور الاعتباريّة و الإضافات الحكميّة، فالميزان فيها هو الاعتبار العُقلائيّ، و ليست تلك الامور من الإضافات المقوليّة، حتّى يأتي فيها ما ذكر، بل هي من الاعتبارات العُقلائيّة، و لا شكّ في أنَّ ملكيّة المنافع قبل تحقّقها ممّا يعتبرها العُقلاء باعتبار تحقّق منشئها، و كونها في اهبة الوجود، فكما أنَّ الملكيّة مُعتبرة عند العُقلاء في المنافع، فكذلك الاستيلاء عليها عُقلائيّ، لكنّه يتبع الاستيلاء على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الاستيلاء على العين، لكن كما أنَّ مُقتضى اليد ملكيّتها، كذلك مُقتضاها ملكيّة منافعها، فتكون كاشفة عن ملكيّة العين و المنافع في عَرْض واحد، فإذا علم من الخارج أنَّ العين ملك لغير ذي اليد، و شكّ في أنَّ منافعها له أو لذي اليد، يحكم بأنّها لذي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النزاع بين ذي اليد و صاحب العين في المنافع يكون ميزان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طرح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مُختلفاً، فإذا ادّعى ذو اليد أنَّ المنافع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الاستيجار من صاحب العين يكون مُدّعياً، و صاحب العين مُنكراً، و لو ادّعى المنافع من غير استناد إليه يكون القول قوله بيمينه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كاشفة عن ملكيّة العين، و ملكيّة المنافع إنّما هي بتبع ملكيّة العين، لا لكشف اليد عنها عَرْضا أو طولًا إلّا بذلك المعنى و لكنّ الأقوى مع ذلك هو الوجه الأوّل بحسب الارتكازات العرفيّة، و الاعتبارات العُقلائيّة</w:t>
      </w:r>
      <w:r>
        <w:rPr>
          <w:rFonts w:eastAsia="Amiri" w:cs="Amiri" w:ascii="Amiri" w:hAnsi="Amiri"/>
          <w:color w:val="111111"/>
          <w:sz w:val="28"/>
          <w:szCs w:val="28"/>
          <w:rtl w:val="true"/>
          <w:lang w:bidi="ar-SA"/>
        </w:rPr>
        <w:t>.</w:t>
      </w:r>
      <w:bookmarkStart w:id="420" w:name="pg2245_13029"/>
    </w:p>
    <w:p>
      <w:pPr>
        <w:pStyle w:val="Heading4"/>
        <w:numPr>
          <w:ilvl w:val="3"/>
          <w:numId w:val="1"/>
        </w:numPr>
        <w:rPr/>
      </w:pPr>
      <w:bookmarkStart w:id="421" w:name="__RefHeading___Toc1614187_3804643083"/>
      <w:bookmarkStart w:id="422" w:name="_Toc154"/>
      <w:bookmarkEnd w:id="420"/>
      <w:bookmarkEnd w:id="421"/>
      <w:r>
        <w:rPr>
          <w:rtl w:val="true"/>
        </w:rPr>
        <w:t>الجهة الرابعة هل اليد مُعتبرة مع عدم علم ذي اليد و اعترافه به؟</w:t>
      </w:r>
      <w:bookmarkEnd w:id="422"/>
    </w:p>
    <w:p>
      <w:pPr>
        <w:pStyle w:val="BookText"/>
        <w:rPr/>
      </w:pPr>
      <w:r>
        <w:rPr>
          <w:rFonts w:ascii="Amiri" w:hAnsi="Amiri" w:eastAsia="Amiri" w:cs="Amiri"/>
          <w:color w:val="111111"/>
          <w:sz w:val="28"/>
          <w:sz w:val="28"/>
          <w:szCs w:val="28"/>
          <w:rtl w:val="true"/>
          <w:lang w:bidi="ar-SA"/>
        </w:rPr>
        <w:t>لا إشكال في اعتبار اليد و كاشفيّتها عن الملكيّة مع دعوى ذي اليد الملكيّة بل مع عدم انضمامها لدعواها، كما لا إشكال في عدم اعتبارها مع اعترافه بعدم الملكيّة، فهل هي مُعتبرة مع عدم العلم بالنسبة إلى نفسه، و مع اعترافه بعدم العلم بالنسبة إلى غيره أم لا؟</w:t>
      </w:r>
    </w:p>
    <w:p>
      <w:pPr>
        <w:pStyle w:val="BookText"/>
        <w:rPr/>
      </w:pPr>
      <w:r>
        <w:rPr>
          <w:rFonts w:ascii="Amiri" w:hAnsi="Amiri" w:eastAsia="Amiri" w:cs="Amiri"/>
          <w:color w:val="111111"/>
          <w:sz w:val="28"/>
          <w:sz w:val="28"/>
          <w:szCs w:val="28"/>
          <w:rtl w:val="true"/>
          <w:lang w:bidi="ar-SA"/>
        </w:rPr>
        <w:t xml:space="preserve">اختار ثانيهما المولى النراقيّ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المُثبتة لاعتبار اليد قاصرة عن المورد، مُضافاً إلى رواية جميل بن صالح عن السراد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وجد في منزله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36"/>
      </w:r>
      <w:r>
        <w:rPr>
          <w:rFonts w:ascii="Amiri" w:hAnsi="Amiri" w:eastAsia="Amiri" w:cs="Amiri"/>
          <w:color w:val="111111"/>
          <w:sz w:val="28"/>
          <w:sz w:val="28"/>
          <w:szCs w:val="28"/>
          <w:rtl w:val="true"/>
          <w:lang w:bidi="ar-SA"/>
        </w:rPr>
        <w:t>، فإنَّه حكم فيما هو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يعلم أنَّه له، مع كونه مستولياً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و أيضاً علّل كون ما وجد في الصندوق له بما يفيد العلم بأنَّه ليس 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w:t>
      </w:r>
    </w:p>
    <w:p>
      <w:pPr>
        <w:pStyle w:val="BookText"/>
        <w:rPr/>
      </w:pP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رجل نزل في بعض بيوت مكّة، فوجد فيه نحواً من سبعين درهماً مدفونة، فلم تزل معه و لم يذكرها حتّى قدم الكوفة،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 عنها أهل المنزل، لعلّهم يعرفونها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يعرفوها؟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شكّ أنَّ الدراهم كانت في تصرّف أهل المنزل، و لو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أنّها</w:t>
      </w:r>
    </w:p>
    <w:p>
      <w:pPr>
        <w:pStyle w:val="BookText"/>
        <w:rPr/>
      </w:pPr>
      <w:r>
        <w:rPr>
          <w:rFonts w:ascii="Amiri" w:hAnsi="Amiri" w:eastAsia="Amiri" w:cs="Amiri"/>
          <w:color w:val="111111"/>
          <w:sz w:val="28"/>
          <w:sz w:val="28"/>
          <w:szCs w:val="28"/>
          <w:rtl w:val="true"/>
          <w:lang w:bidi="ar-SA"/>
        </w:rPr>
        <w:t>لنا أو لغيرنا يصدق أنّهم لا يعرفونها، فلا يحكم بملكيّتها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اليد لا تكفي في حكم ذي اليد لأجلها لنفسه، إن لم يعلم ملكيّته </w:t>
      </w:r>
      <w:r>
        <w:rPr>
          <w:rStyle w:val="FootnoteAnchor"/>
          <w:rtl w:val="true"/>
        </w:rPr>
        <w:footnoteReference w:id="538"/>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قصور الأدلّة يمكن منعها؛ بدعوى إطلاق بعض الأدلّة، كموثّقة يونس، و صحيحتي محمّد بن مسلم </w:t>
      </w:r>
      <w:r>
        <w:rPr>
          <w:rStyle w:val="FootnoteAnchor"/>
          <w:rtl w:val="true"/>
        </w:rPr>
        <w:footnoteReference w:id="539"/>
      </w:r>
      <w:r>
        <w:rPr>
          <w:rFonts w:ascii="Amiri" w:hAnsi="Amiri" w:eastAsia="Amiri" w:cs="Amiri"/>
          <w:color w:val="111111"/>
          <w:sz w:val="28"/>
          <w:sz w:val="28"/>
          <w:szCs w:val="28"/>
          <w:rtl w:val="true"/>
          <w:lang w:bidi="ar-SA"/>
        </w:rPr>
        <w:t>و دعوى منع صدق الاستيلاء في مثل المورد من عجيب الدعاوى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ادّعى من دلالة صحيحة جميل على مطلوبه،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باللّقطة إنّما هو في مورد يدخل في المنزل جماعة كثيرون و لا إشكال في أن مثل تلك المنازل المُعدّة للمراودة لا يكون مثل الدراهم و الدينار المُلقى فيها تحت يد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الدرهم و الدينار لهما خصوصيّة، فإنَّ لهما محلّا خاصّاً، كالكيس و الصندوق، فإذا وجد في الدار فإن لم تكن مُعدّة لدخول الغير فيها، أو يكون الدخول نادراً يكشف ذلك عن كون الشي‌ء المُلقى و لو مثل الدينار تحت يد صاحبها، بخلاف ما لو كان البيت محلّ المراودة، خصوصاً إذا كانت كثيرة، كما هو مفروض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الصندوق فإن أدخل غيره يده فيه، و وضع فيه شيئاً فلا إشكال في عدم كونه تحت يد صاحبه مُستقلًاّ، بل يكون في يدهما، و إلّا فيحكم بملكيّة صاحب الصندوق، و لا ريب في أنَّ مفروض السائل إنّما هو صوره جهل الرجل بأنَّ الدرهم له، و لا معنى لفرض العلم بذلك، فالرواية دالّة على خلاف مطلوبه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ذكره في سند الرواية من أنّها رواية جميل عن السرّاد سهو من قلمه؛ لأنَّ السراد هو ابن محبوب </w:t>
      </w:r>
      <w:r>
        <w:rPr>
          <w:rStyle w:val="FootnoteAnchor"/>
          <w:rtl w:val="true"/>
        </w:rPr>
        <w:footnoteReference w:id="540"/>
      </w:r>
      <w:r>
        <w:rPr>
          <w:rFonts w:ascii="Amiri" w:hAnsi="Amiri" w:eastAsia="Amiri" w:cs="Amiri"/>
          <w:color w:val="111111"/>
          <w:sz w:val="28"/>
          <w:sz w:val="28"/>
          <w:szCs w:val="28"/>
          <w:rtl w:val="true"/>
          <w:lang w:bidi="ar-SA"/>
        </w:rPr>
        <w:t>، و هو رواها عن جميل بن صالح، كما تقدّم الحديث</w:t>
      </w:r>
      <w:bookmarkStart w:id="423" w:name="pg2245_13031"/>
    </w:p>
    <w:p>
      <w:pPr>
        <w:pStyle w:val="BookText"/>
        <w:rPr/>
      </w:pPr>
      <w:bookmarkEnd w:id="423"/>
      <w:r>
        <w:rPr>
          <w:rFonts w:ascii="IRNazanin" w:hAnsi="IRNazanin" w:eastAsia="IRNazanin"/>
          <w:color w:val="111111"/>
          <w:sz w:val="28"/>
          <w:sz w:val="28"/>
          <w:szCs w:val="28"/>
          <w:rtl w:val="true"/>
          <w:lang w:bidi="fa-IR"/>
        </w:rPr>
        <w:t xml:space="preserve">بسنده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موثّقة ابن عمّار فلا دلالة لها على دعواه؛ لأنَّ بيوت مكّة التي ينزل فيها النزّال ليس ما فيها من قبيل الدراهم التي هي تحت يد صاحبها، خصوصاً المدفونة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البيوت التي تكون مُعدّة لنزول الزوّار و الخلق الكثير، و في الدراهم المدفونة فيها خصوصيّة ليست لغيرها، فليس الحكم بالتصدّق أو الاستفسار عن صاحب اليد لأجل عدم اعتبار اليد فيما إذا لم يعلم صاحبها، كما لا يخفى</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614189_3804643083"/>
      <w:bookmarkStart w:id="425" w:name="_Toc155"/>
      <w:bookmarkEnd w:id="424"/>
      <w:r>
        <w:rPr>
          <w:rtl w:val="true"/>
        </w:rPr>
        <w:t>الجهة الخامسة حال اليدين على شي‌ءٍ واحد</w:t>
      </w:r>
      <w:bookmarkEnd w:id="425"/>
    </w:p>
    <w:p>
      <w:pPr>
        <w:pStyle w:val="Heading5"/>
        <w:numPr>
          <w:ilvl w:val="4"/>
          <w:numId w:val="1"/>
        </w:numPr>
        <w:rPr/>
      </w:pPr>
      <w:bookmarkStart w:id="426" w:name="__RefHeading___Toc1614191_3804643083"/>
      <w:bookmarkStart w:id="427" w:name="_Toc156"/>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إذا كان شي‌ء في يد اثنين، فهل تكون يد كلّ منهما على تمامه مُستقلّة تامّة</w:t>
      </w:r>
      <w:r>
        <w:rPr>
          <w:rStyle w:val="FootnoteAnchor"/>
          <w:rtl w:val="true"/>
        </w:rPr>
        <w:footnoteReference w:id="542"/>
      </w:r>
      <w:r>
        <w:rPr>
          <w:rFonts w:ascii="Amiri" w:hAnsi="Amiri" w:eastAsia="Amiri" w:cs="Amiri"/>
          <w:color w:val="111111"/>
          <w:sz w:val="28"/>
          <w:sz w:val="28"/>
          <w:szCs w:val="28"/>
          <w:rtl w:val="true"/>
          <w:lang w:bidi="ar-SA"/>
        </w:rPr>
        <w:t xml:space="preserve">، أو يد كلّ منهما على تمامه ناقصة، فيكون كلّ منهما مستولياً على تمامه استيلاء ناقصاً غير تامّ </w:t>
      </w:r>
      <w:r>
        <w:rPr>
          <w:rStyle w:val="FootnoteAnchor"/>
          <w:rtl w:val="true"/>
        </w:rPr>
        <w:footnoteReference w:id="543"/>
      </w:r>
      <w:r>
        <w:rPr>
          <w:rFonts w:ascii="Amiri" w:hAnsi="Amiri" w:eastAsia="Amiri" w:cs="Amiri"/>
          <w:color w:val="111111"/>
          <w:sz w:val="28"/>
          <w:sz w:val="28"/>
          <w:szCs w:val="28"/>
          <w:rtl w:val="true"/>
          <w:lang w:bidi="ar-SA"/>
        </w:rPr>
        <w:t>، أو تكون يد كلّ منهما على نصفه المشاع مُستقلّة، و يكون مستولياً على النصف استيلاءً تامّا</w:t>
      </w:r>
      <w:r>
        <w:rPr>
          <w:rStyle w:val="FootnoteAnchor"/>
          <w:rtl w:val="true"/>
        </w:rPr>
        <w:footnoteReference w:id="544"/>
      </w:r>
      <w:r>
        <w:rPr>
          <w:rFonts w:ascii="IRNazanin" w:hAnsi="IRNazanin" w:eastAsia="IRNazanin"/>
          <w:color w:val="111111"/>
          <w:sz w:val="28"/>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تكشف اليدان عم ملكيّتهما له، فيكون تمامه ملكاً مُستقلًاّ لهما، من غير تعارض في مُقتضى اليدين، أو تكون اليدان مُتعارضتين، و تكون يد كلّ منهما في ذاتها كاشفة عن الملكيّة المُستقلّة لصاحبها، و مع اجتماعهما تصيران مُتعارضتين، كاجتماع البيّنتين المتخالفتين على عين واحدة؟</w:t>
      </w:r>
      <w:bookmarkStart w:id="428" w:name="pg2245_13032"/>
    </w:p>
    <w:p>
      <w:pPr>
        <w:pStyle w:val="BookText"/>
        <w:rPr/>
      </w:pPr>
      <w:bookmarkEnd w:id="428"/>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بناءً على كون اليدين على تمام الشي‌ء ناقصتين، فهل تكون يد كلّ كاشفة عن ملكيّة تمامه على نحو النقص أو ملكيّة نصفه على نحو التمام و الاستقلال؟</w:t>
      </w:r>
    </w:p>
    <w:p>
      <w:p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الأوّل يكون المالك للعين كليهما مُجتمعين، كملك الخيار للورثة، بناءً على كونه واحداً لمجموعهم تأمّل، و على الثاني يكون لكلّ منهما نصفه المشاع،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يكون مبنى الاحتمالين الأوّلين جواز استقلال اليدين على شي‌ءٍ واحد، كما أنَّ مبنى أوّلهما جواز اجتماع المالكين المُستقلّين على ملك واحد، فالواجب أوّلًا تحقيقهما حتّى يتّضح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جواز استقلال المالكين لمال واحد، فلا إشكال في أنَّه خلاف اعتبار العُقلاء، بل غير معقول عندهم، فإنَّ الملكيّة نحو إضافة بين المالك و المملوك يلازمها الاختصاص، و لا يعقل أن يكون شي‌ء بتمامه مُختصّاً بشخصين، و لا أظنّ أحداً يشكّ في ذلك بعد التدبّر في اعتبارات العُقلاء و نحو إضافة الملكيّة عندهم</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614193_3804643083"/>
      <w:bookmarkStart w:id="430" w:name="_Toc157"/>
      <w:bookmarkEnd w:id="429"/>
      <w:r>
        <w:rPr>
          <w:rtl w:val="true"/>
        </w:rPr>
        <w:t>حول كلام المحقّق السيّد الطباطبائيّ قدّس سرّه و ما يرد عليه</w:t>
      </w:r>
      <w:bookmarkEnd w:id="430"/>
    </w:p>
    <w:p>
      <w:pPr>
        <w:pStyle w:val="BookText"/>
        <w:rPr/>
      </w:pPr>
      <w:r>
        <w:rPr>
          <w:rFonts w:ascii="Amiri" w:hAnsi="Amiri" w:eastAsia="Amiri" w:cs="Amiri"/>
          <w:color w:val="111111"/>
          <w:sz w:val="28"/>
          <w:sz w:val="28"/>
          <w:szCs w:val="28"/>
          <w:rtl w:val="true"/>
          <w:lang w:bidi="ar-SA"/>
        </w:rPr>
        <w:t xml:space="preserve">و لكنّ السيّد المحقّق الطباطبائيّ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انظر 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ريحانة الأدب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في كتاب القضاء من مُلحقات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 اجتماع المالكين المُستقلّين لمال واحد، و تشبّث في إثبات إمكانه</w:t>
      </w:r>
    </w:p>
    <w:p>
      <w:pPr>
        <w:pStyle w:val="BookText"/>
        <w:rPr/>
      </w:pPr>
      <w:r>
        <w:rPr>
          <w:rFonts w:ascii="Amiri" w:hAnsi="Amiri" w:eastAsia="Amiri" w:cs="Amiri"/>
          <w:color w:val="111111"/>
          <w:sz w:val="28"/>
          <w:sz w:val="28"/>
          <w:szCs w:val="28"/>
          <w:rtl w:val="true"/>
          <w:lang w:bidi="ar-SA"/>
        </w:rPr>
        <w:t>بالوقوع في بعض الموارد، مثل كون الشي‌ء ملكاً للنوع، كالزكاة و الخمس و الوقف على العلماء و الفقراء، على نحو بيان المصرف؛ فإنَّ كلّ فرد من النوع مالك لذلك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مانع من اجتماع المالكين الشخصيّين أيضاً، كما إذا وقف على زيد و عمرو، أو أوصى لهما على نحو بيان المصرف، فإنَّه يجوز صرفه على كلّ واحد منهما، فدعوى عدم معقوليّة اجتماع المالكين على مال واحد 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إشكال في جواز كون حقّ واحد لكلّ من الشخصين مُستقلًاّ، كحقّ الخيار، و كولاية الأب و الجدّ على مال القاصر، و من المعلوم عدم الفرق بين الحقّ و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أنَّ مُقتضى الملكيّة المُستقلّة أن يكون للمالك منع الغير، و إذا لم يكن له منعه فلا يكون مُستقلًاّ ممنوعة؛ فإنَّ هذا أيضاً نحو من الملكيّة المُستقلّة، و نظيره الوجوب الكفائيّ و التخييريّ في كونهما نحواً من الوجوب، مع كونه جائز الترك </w:t>
      </w:r>
      <w:r>
        <w:rPr>
          <w:rStyle w:val="FootnoteAnchor"/>
          <w:rtl w:val="true"/>
        </w:rPr>
        <w:footnoteReference w:id="5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خبير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نقضه بمثل الزكاة و الخمس و الوقف العامّ فهو غريب؛ لأنَّ المالك في أمثالها هو الجهات لا الأفراد، و مالكيّة الجهات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 الوقف على زيد و عمرو فهو أيضاً كذلك في مفروض كلامه؛ لأنَّ الوقف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يكون كلّ منهما مصرفاً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إلّا بالوقف على جهة قابلة للانطباق على كلّ منهما لا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فإن رجع إلى الوقف على كلّ منهما و أعقابهما يكون كلّ منهما موقوفاً عليه بالنسبة إلى نصفه، و إن رجع إلى الوقف على كلّ منهما بنحو الترديد فهو باطل، فلا بدّ و أن يكون على نحو الأوّل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الوصيّة لهما؛ فإنّها إن كانت تمليكيّة فحالها حال الوقف،</w:t>
      </w:r>
    </w:p>
    <w:p>
      <w:pPr>
        <w:pStyle w:val="BookText"/>
        <w:rPr/>
      </w:pPr>
      <w:r>
        <w:rPr>
          <w:rFonts w:ascii="Amiri" w:hAnsi="Amiri" w:eastAsia="Amiri" w:cs="Amiri"/>
          <w:color w:val="111111"/>
          <w:sz w:val="28"/>
          <w:sz w:val="28"/>
          <w:szCs w:val="28"/>
          <w:rtl w:val="true"/>
          <w:lang w:bidi="ar-SA"/>
        </w:rPr>
        <w:t>و إن كانت 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الوصية بإعطاء مال لزيد أو عمرو، أو بزيد و عمرو على نحو بيان المصرف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المالك قبل الإعطاء هو الميّت، و بالإعطاء يصير ملكاً للمعطى له، فيخرج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النقض ببعض الحقوق كحقّ الخيار و كولاية الأب و الجدّ فغير وارد؛ للفرق الواضح بين الملك و مثل حقّ الخيار؛ لأنَّ حقّ عند العقلاء يرجع إلى إضافة لازمها السلطنة على فسخ العقد، من غير اختصاص للعقد أو العين بذي الحقّ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اختصاصان قائمان بشي‌ءٍ واحد؛ و لهذا لا يجوز اجتماع بعض الحقوق التي يكون اعتباره كذلك، كحقّ التحجير و حقّ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الخيار عبارة عن ملك فسخ العقد، أو ملك إقرار العقد و إزالته </w:t>
      </w:r>
      <w:r>
        <w:rPr>
          <w:rStyle w:val="FootnoteAnchor"/>
          <w:rtl w:val="true"/>
        </w:rPr>
        <w:footnoteReference w:id="547"/>
      </w:r>
      <w:r>
        <w:rPr>
          <w:rFonts w:ascii="Amiri" w:hAnsi="Amiri" w:eastAsia="Amiri" w:cs="Amiri"/>
          <w:color w:val="111111"/>
          <w:sz w:val="28"/>
          <w:sz w:val="28"/>
          <w:szCs w:val="28"/>
          <w:rtl w:val="true"/>
          <w:lang w:bidi="ar-SA"/>
        </w:rPr>
        <w:t>، فلا يتعلّق حقّ على العقد أو على العين إلّا بالعَرَض،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لفلان حقّاً على العقد ليفسخه، أو على العين ليسترجعها معناه أنَّ له حقّ الفسخ و الاسترجاع، فالخيار مأخوذ من الاختيار، و لا ينسب حقيقة إلّا إلى الأفعال، فلا يطلق على ملك الأعيان و المنافع، كما اعترف به السيّد رحمه اللَّه في تعليقاته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فكلّ من الشخصين يكون له حقّ الفسخ مُستقلًاّ، و لكلّ واحدٍ منهما اختيار و خيار مُستقلّ، و لا يكون متعلّق حقّهما شيئاً واحداً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النقض بولاية الأب و الجدّ أيضاً فغير وارد؛ لأنَّ اعتبار الولاية ليس مُلازماً و ملزوماً لاعتبار الاختصاص، الذي هو مُعتبر في الملكيّة، حتّى لا يمكن استقلالهما على شي‌ءٍ واحدة، بل الولاية هي السلطنة على تدبير الامور، أو إضافة بين الوليّ و المولّى عليه تستتبعها السلطنة على اموره، و لا إشكال في جواز استقلال الوليّين على تدبير امور شخص واحدٍ، فهي نظير الوكالة في الامور، حيث لا مانع من تعدّد الوكلاء على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استقلال المالكين على ملك واحد ممّا لا يمكن عند العُقلاء، و لا ترد النقوض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الإشكال بأنَّ مُقتضى استقلال الملكيّة جواز منع الغير، و هو مفقود في المقام أنَّ هذا نحو من الملكيّة المُستقلّة، كالواجب التخييريّ و الكفائيّ، حيث إنَّهما نحوان من الوجوب </w:t>
      </w:r>
      <w:r>
        <w:rPr>
          <w:rStyle w:val="FootnoteAnchor"/>
          <w:rtl w:val="true"/>
        </w:rPr>
        <w:footnoteReference w:id="549"/>
      </w:r>
      <w:r>
        <w:rPr>
          <w:rFonts w:ascii="Amiri" w:hAnsi="Amiri" w:eastAsia="Amiri" w:cs="Amiri"/>
          <w:color w:val="111111"/>
          <w:sz w:val="28"/>
          <w:sz w:val="28"/>
          <w:szCs w:val="28"/>
          <w:rtl w:val="true"/>
          <w:lang w:bidi="ar-SA"/>
        </w:rPr>
        <w:t>، فهو من غريب الكلام؛ لأنَّ لازم ذلك أنَّ الملكيّة الغير المُستقلّة نحو من الملكيّة المُستقلّة، ضرورة أنَّ معنى الاستقلال في الملكيّة هو الاستبداد و الانفراد بها، و الواجب التخييريّ نحو من الواجب، كما أنَّ الملكيّة الغير المُستقلّة نحو من الملكيّة، لا نحو من الملكيّة المُستقلّة، فما ذكره نظير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التخييريّ و الكفائيّ نحوان من الواجب العينيّ و التعيينيّ، و هو كما ترى هذا حال الملكيّتين المُستقلّتين على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اجتماع اليدين المُستقلّتين على شي‌ءٍ واحدٍ فهو أيضاً لا يجوز؛ ضرورة أنَّ مُقتضى استقلال الاستيلاء على شي‌ء جواز منع الغير عن التصرّف والد خالة فيه، و استبداد اليد المُستقلّة في تدبيره و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أنَّه فرق واضح بين كون شي‌ء تحت يد شخص واحد، يتصرّف فيه بما يشاء، و يمنع تصرّف غيره، أو يجيزه بأيّ نحو يشاء من إتلاف و إفساد و غيرهما، و بين كونه تحت يد شخصين يكون كلّ منهما مُتصرّفاً فيه؛ فإنَّ تصرّف كلّ واحد ليس كالأوّل؛ لعدم جواز منع تصرّف الغير مُطلقاً، و لا إجازة غيره كذلك، و هل هذا إلّا أثر استقلال الاولى، و عدمه في الثانية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قياس ذلك بجارين لشخص واحد و صاحبين له، و مؤانسين و أخوين مع الفارق، لأنَّ تلك الإضافات لا تتّصف بالاستقلال اللااستقلال، فإنَّها تتحقّق بنفس</w:t>
      </w:r>
    </w:p>
    <w:p>
      <w:pPr>
        <w:pStyle w:val="BookText"/>
        <w:rPr/>
      </w:pPr>
      <w:r>
        <w:rPr>
          <w:rFonts w:ascii="Amiri" w:hAnsi="Amiri" w:eastAsia="Amiri" w:cs="Amiri"/>
          <w:color w:val="111111"/>
          <w:sz w:val="28"/>
          <w:sz w:val="28"/>
          <w:szCs w:val="28"/>
          <w:rtl w:val="true"/>
          <w:lang w:bidi="ar-SA"/>
        </w:rPr>
        <w:t>مناشئها، من غير مزاحمة بينها و بين الإضافة المشابهة لها، إلّا أن يرجع الاستقلال فيها إلى أنَّه لا شريك لها، و لا مشابِه لها في تلك الإضافة، فتصير مثل ما نحن فيه في عدم إمكان استقلالها مع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بطل اجتماع المالكين المُستقلّين، و كذا اجتماع اليدين المُستقلّتين على شي‌ءٍ واحدٍ بطل الاحتمالان الأوّلان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الاحتمالان الآخران؛ أي كون اليدين على تمام الشي‌ء ناقصتين، أو يدين مُستقلّتين على نصفه المُشاع، فلا بدّ قبل تحقيق الحقّ فيهما من بيان إمكان الملكيّة المشاعة، و اليد المُستقلّة على النصف المشاع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الملكيّة المُشاعة فهي أمر عُقلائيّ، و من الاعتبارات الصحيحة العرفيّة، يعرفها كلّ أحد، من غير ابتنائها على بطلان الجزء الذي لا يتجزّأ، فإنَّ ابتناء قضيّة عرفيّة و اعتبار سوقيّ على مسألة دقيقة حكميّة ممّا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بعض من ابتناء هذه المسألة على تلك المسألة العقليّة</w:t>
      </w:r>
      <w:r>
        <w:rPr>
          <w:rStyle w:val="FootnoteAnchor"/>
          <w:rtl w:val="true"/>
        </w:rPr>
        <w:footnoteReference w:id="550"/>
      </w:r>
      <w:r>
        <w:rPr>
          <w:rFonts w:ascii="Amiri" w:hAnsi="Amiri" w:eastAsia="Amiri" w:cs="Amiri"/>
          <w:color w:val="111111"/>
          <w:sz w:val="28"/>
          <w:sz w:val="28"/>
          <w:szCs w:val="28"/>
          <w:rtl w:val="true"/>
          <w:lang w:bidi="ar-SA"/>
        </w:rPr>
        <w:t>ناشٍ من الغفلة عن اعتبارات العُقلاء؛ ضرورة أنَّ جميع أهل البلدان من السوقيّ و غيره يفهم الملك المشاع و يعتبره، مع أنَّ مسألة إمكان الجزء و امتناعه ممّا لا تقرع إلّا سمع بعض أهل العلم، و تحقيقها و إثبات امتناعه من شأن الأوحديّ من أهل الفنّ، فأين ابتناء مثل هذه المسألة السوقيّة الضروريّة الاعتباريّة على تلك المسألة النظريّة الدقيقة التي لا اسم لها و لا رسم عند العُقلاء و أصحاب اعتبارات تلك الامور؟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الملك المشاع أوضح من أن يحتاج إلى بيان؛ ضرورة أنَّه لو مات أحد عن ولدين، يصير كلّ منهما عند كافّة العُقلاء مالكاً للنصف المشاع، و يكون اعتبار الإشاعة معلوماً عندهم وجداناً، و لو لم يمكن لهم بيان مفهومها</w:t>
      </w:r>
    </w:p>
    <w:p>
      <w:pPr>
        <w:pStyle w:val="BookText"/>
        <w:rPr/>
      </w:pPr>
      <w:r>
        <w:rPr>
          <w:rFonts w:ascii="Amiri" w:hAnsi="Amiri" w:eastAsia="Amiri" w:cs="Amiri"/>
          <w:color w:val="111111"/>
          <w:sz w:val="28"/>
          <w:sz w:val="28"/>
          <w:szCs w:val="28"/>
          <w:rtl w:val="true"/>
          <w:lang w:bidi="ar-SA"/>
        </w:rPr>
        <w:t>و تحديدها، كأكثر الحقائق الضروريّة، فإنَّ تحديدها في غاية الإشكال، و إن كانت معلومة مصداقاً، فالماء و النار و النور مع كونها في غاية الظهور عند كلّ أحد لا يمكن للغالب تحديدها و تعريفها، و هذا لا يضرّ بوضوح الحقيقة وجداناً و عياناً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الكسور امور اعتباريّة بنحو اللّاتعيّن، في مقابل المفروز و المعيّن، و ظرف الاعتبار و إن كان الذهن، لكنّ المُعتبر خارجيّ؛ بمعنى أنَّ العُقلاء يعتبرون بعض الامور في الخارج، فيتّصف الخارج به اتّصافاً في نظرهم، لا في التكوين، فالملكيّة و سائر الامور الاعتباريّة العُقلائيّة ظرف اعتبارها الذهن، و ظرف اتّصاف الأشياء بها الخارج، فالعين مُتّصفة في الخارج بالمملوكيّة، و الشخص بالمالكيّة، من غير أن تكون تلك الأوصاف عارضة لها في الخارج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فالكسر المُشاع ليس من الامور العينيّة التكوينيّة، و لا من الامور الانتزاعيّة؛ ضرورة أنَّ منشأ انتزاعه إن كان العين المُعيّنة الخارجيّة، فلا يُعقل أن يكون المُنتزع من المعيّن مُشاعاً بما هو مُشاع، و توهّم انتزاع الكلّي من الجزئيّات </w:t>
      </w:r>
      <w:r>
        <w:rPr>
          <w:rStyle w:val="FootnoteAnchor"/>
          <w:rtl w:val="true"/>
        </w:rPr>
        <w:footnoteReference w:id="551"/>
      </w:r>
      <w:r>
        <w:rPr>
          <w:rFonts w:ascii="Amiri" w:hAnsi="Amiri" w:eastAsia="Amiri" w:cs="Amiri"/>
          <w:color w:val="111111"/>
          <w:sz w:val="28"/>
          <w:sz w:val="28"/>
          <w:szCs w:val="28"/>
          <w:rtl w:val="true"/>
          <w:lang w:bidi="ar-SA"/>
        </w:rPr>
        <w:t xml:space="preserve">فاسد، كما هو المُقرّر في محلّه </w:t>
      </w:r>
      <w:r>
        <w:rPr>
          <w:rStyle w:val="FootnoteAnchor"/>
          <w:rtl w:val="true"/>
        </w:rPr>
        <w:footnoteReference w:id="552"/>
      </w:r>
      <w:r>
        <w:rPr>
          <w:rFonts w:ascii="Amiri" w:hAnsi="Amiri" w:eastAsia="Amiri" w:cs="Amiri"/>
          <w:color w:val="111111"/>
          <w:sz w:val="28"/>
          <w:sz w:val="28"/>
          <w:szCs w:val="28"/>
          <w:rtl w:val="true"/>
          <w:lang w:bidi="ar-SA"/>
        </w:rPr>
        <w:t>، و إن كان أمراً مُبهماً فلا يُعقل الإبهام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الأعيان مع قطع النظر عن الاعتبار ليس لها الكسور خارجاً، و هو واضح، و لا تكون منشأ لانتزاعها، و قابليّتها للقسمة ليست منشأ انتزاعها؛ لأنّها قابلة للأقسام المُعيّنة، و الكسر مُشاع لا معيّن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هي من الاعتبارات الصحيحة العُقلائيّة في الموجود الخارجيّ، تتّصف بها الأعيان اتصافاً في مُحيط العُقلاء، فتكون العين ذات نصف و ثلث و ربع هكذا بحسب الخارج، كما هي مملوكة خارجاً، و هذا بوجه نظير بعض الأعراض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عروضها في الذهن، و اتصاف الأشياء بها في الخارج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الإشكال العقليّ المُتوهّم في الإشاعة؛ من أنَّ الإشاعة تنافي الوجود الخارجيّ و الجزئية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عدم التنافي بينها و بين الوجود الخارجيّ فظاهر؛ لأنَّ المُنافاة بين الوجود التكوينيّ و بين الإشاعة و اللّاتعيّن مُسلّم، لا بينها و بين الوجود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بينها و بين الجزئيّة؛ فلأنَّ الابهام بذاتها لا يلازم الكلّية، ما لم تقبل الصدق على الكثيرين، و الجزء المُشاع الخارجيّ غير قابل لذلك؛ لعدم تعقّل صدق الكسر المُشاع المُعتبر في الخارج على الكثيرين، فإنَّ العين الخارجيّة يُعتبر فيها نصفان، و كلّ نصف مُشاع غير الآخر، و ثلاثة أثلات كلٍّ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النصف المُشاع و الثُلث المُشاع كلّي كسائر الكلّيات، و ليس الكلام فيه، بل الكلام في المُشاع الخارجيّ الذي تقع عليه المُعاملات، و يكون ملكاً للأشخاص، و هو ليس بكلّي، و غير صادق على الكثير، و ما ذكرناه هو الموافق لاعتبار العُقلاء، من غير لزوم 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تصوير الإشاعة و دفع الإشكال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الخارجيّ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بوجود ما بحذائه، و موجود بوجود منشأ انتزاعه، فمفهوم النصف مثلًا ربما يكون موجوداً بوجود ما بحذائه، و هو النصف المُعيّن في العين، و ربما يكون عنواناً لموجود بالقوّة؛ لتساوي نسبته إلى جميع الأنصاف المُتصوّرة في العين، فهذا الموجود بالقوّة المُتساوي النسبة جزئيّ بجزئيّة منشأ انتزاعه، و له شيوع و سريان باعتبار قبوله لكلّ تعيّن من التعيّنات الخارجيّة المفروضة؛ و لأجله تكون القسمة مُعيّنة للّامُتعيّن، من دون لزوم معاوضة بين أجزاء العين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فالمملوك لكلّ من الشريكين أوّلًا بالذات هو النصف المشاع، و العين</w:t>
      </w:r>
    </w:p>
    <w:p>
      <w:pPr>
        <w:pStyle w:val="BookText"/>
        <w:rPr/>
      </w:pPr>
      <w:r>
        <w:rPr>
          <w:rFonts w:ascii="Amiri" w:hAnsi="Amiri" w:eastAsia="Amiri" w:cs="Amiri"/>
          <w:color w:val="111111"/>
          <w:sz w:val="28"/>
          <w:sz w:val="28"/>
          <w:szCs w:val="28"/>
          <w:rtl w:val="true"/>
          <w:lang w:bidi="ar-SA"/>
        </w:rPr>
        <w:t xml:space="preserve">الخارجيّة مورد لمملوكين بالذات، فتكون مملوكة بالعرض، على عكس من يملك عيناً واحدة بالذات، فإنَّه يملك كسوره المُشاعة بالعرض </w:t>
      </w:r>
      <w:r>
        <w:rPr>
          <w:rStyle w:val="FootnoteAnchor"/>
          <w:rtl w:val="true"/>
        </w:rPr>
        <w:footnoteReference w:id="5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 أنَّ مفهوم النصف في المُعيّن موجود بوجود ما بحذائه، فإنَّه إن أراد موجوديّته قبل تحقّق التقسيم الخارجيّ أو الوهميّ، فهو مُستلزم للجزء الذي لا يتجزّأ إن كان النصف و نصف النصف و هكذا مُتناهياً، أو كون غير المتناهي الفعليّ محصوراً بين الحاصرين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أنَّه بالتقسيم يوجد شي‌ء في الخارج هو النصف المُعيّن، ففيه ما لا يخفى؛ فإنَّ التقسيم إن كان وهميّا، فلا يُعقل بتوهّم التقسيم حصول شي‌ء موجود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خارجيّاً فكذلك؛ فإنَّه بعد التقسيم يكون القسمان موجودين مُستقلّين، و ليس النصف وصفاً ذاتيّاً لهما؛ ضرورة أن النصف نصف المجموع، فلا يُتصوّر نصف بلا مجموع، و معلوم أنَّ مجموع شيئين مُنفصلين ليس موجود في العين؛ لأنَّ الوجود مساوق للوحدة، و ما لا وحدة له لا وجود له، و ما هو مُتقوّم بأمرٍ اعتباريّ لا يمكن أن يكون من الموجودات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كلّ حبّة في الخارج نصفٌ لحبّات غير مُتناهية، أو كغير مُتناهية، و ثلثٌ و ربعٌ و خمسٌ و هكذا، و تكون الكسور فيها غير مُتناهية، فلزم وجود أوصاف خارجيّة غير مُتناهية في حبة خشخاش، و هو كما ترى</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الكسور المُعيّنة امور اعتباريّة و انتزاعيّة من منشأ اعتباريّ، و لو لا</w:t>
      </w:r>
    </w:p>
    <w:p>
      <w:pPr>
        <w:pStyle w:val="BookText"/>
        <w:rPr/>
      </w:pPr>
      <w:r>
        <w:rPr>
          <w:rFonts w:ascii="Amiri" w:hAnsi="Amiri" w:eastAsia="Amiri" w:cs="Amiri"/>
          <w:color w:val="111111"/>
          <w:sz w:val="28"/>
          <w:sz w:val="28"/>
          <w:szCs w:val="28"/>
          <w:rtl w:val="true"/>
          <w:lang w:bidi="ar-SA"/>
        </w:rPr>
        <w:t>المُعتبر لا يكون المجموع و لا نصفه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في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انتزاعيّ و موجود بالقوّة، متساوي النسبة إلى التقسيمات، جزئيّ بجزئيّة منشأ انتزاعه، و شائع و سار باعتبار قبوله لكلّ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المنتزع لا يُعقل أن يكون مُبايناً للمُنتزع منه، و المُتعيّن و اللّامُتعيّن مُتباينان، لا تعقل منشئيّة أحدهما للآخر، و قد أشرنا</w:t>
      </w:r>
      <w:r>
        <w:rPr>
          <w:rStyle w:val="FootnoteAnchor"/>
          <w:rtl w:val="true"/>
        </w:rPr>
        <w:footnoteReference w:id="556"/>
      </w:r>
      <w:r>
        <w:rPr>
          <w:rFonts w:ascii="Amiri" w:hAnsi="Amiri" w:eastAsia="Amiri" w:cs="Amiri"/>
          <w:color w:val="111111"/>
          <w:sz w:val="28"/>
          <w:sz w:val="28"/>
          <w:szCs w:val="28"/>
          <w:rtl w:val="true"/>
          <w:lang w:bidi="ar-SA"/>
        </w:rPr>
        <w:t xml:space="preserve">إلى أنَّ الكلّي لا يعقل انتزاعه من الجزئيّ بما أنَّه جزئيّ، بل ليس الكلّي و الجزئيّ من قبيل المُنتزع و المُنتزع منه، كما هو المُقرّر في محلّه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أنَّ القوّة التي في الأجسام و بها تقبل التقسيمات المُتعيّنة هي الهيولى على مسلك طائفة</w:t>
      </w:r>
      <w:r>
        <w:rPr>
          <w:rStyle w:val="FootnoteAnchor"/>
          <w:rtl w:val="true"/>
        </w:rPr>
        <w:footnoteReference w:id="558"/>
      </w:r>
      <w:r>
        <w:rPr>
          <w:rFonts w:ascii="Amiri" w:hAnsi="Amiri" w:eastAsia="Amiri" w:cs="Amiri"/>
          <w:color w:val="111111"/>
          <w:sz w:val="28"/>
          <w:sz w:val="28"/>
          <w:szCs w:val="28"/>
          <w:rtl w:val="true"/>
          <w:lang w:bidi="ar-SA"/>
        </w:rPr>
        <w:t>، و هي لا تكون جزء مُشاعاً بالضرورة، و لا أمراً انتزاعيّاً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أنَّ التقسيمات الخارجيّة لا تخرج المشاع عن إشاعته؛ ضرورة أنَّ الشريكين ما لم يتّفقا على التقسيم لا يصير المُشاع مفروزاً و لو قسّم المملوك خارجاً، مع أنَّه اعترف بأن ليس في الجسم إلّا نصفان و بالتقسيم يصير مفروزاً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التقسيم الاعتباريّ موجب للإفراز و التعيين، و ليس حامله القوّة الموجودة في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التقسيم في المُنفصلات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ككرّ من الحنطة المُشاعة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تنصيفه ليس واقعاً على القوّة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ذلك فساد توهّم أنَّ النصف المُشاع عبارة عن قوّة متساوية النسبة إلى التقسيمات، إلّا أن يكون مُراده من القوّة أمراً اعتباريّاً، و من التقسيم الإفراز بتراضي المالكين، لا التقسيم الخارجيّ، و هو كما ترى مُخالف لظاهر كلامه، خصوصاً</w:t>
      </w:r>
    </w:p>
    <w:p>
      <w:pPr>
        <w:pStyle w:val="BookText"/>
        <w:rPr/>
      </w:pPr>
      <w:r>
        <w:rPr>
          <w:rFonts w:ascii="Amiri" w:hAnsi="Amiri" w:eastAsia="Amiri" w:cs="Amiri"/>
          <w:color w:val="111111"/>
          <w:sz w:val="28"/>
          <w:sz w:val="28"/>
          <w:szCs w:val="28"/>
          <w:rtl w:val="true"/>
          <w:lang w:bidi="ar-SA"/>
        </w:rPr>
        <w:t>كون القوّة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القسمة معيّنة للّامُتعيّن، من دون لزوم تبادل بين أجزاء العين، فإنَّ القسمة و إن كانت عنواناً مُستقلًاّ مُقابل البيع و الصلح و غيرهما، لكن لا إشكال في أنَّ لازمها التبادل بين مال الشريكين؛ ضرورة أنَّ كلّ جانب من العين الخارجيّة كان لهما قبل التقسيم، و صار مُختصّاً بعده، و لا يمكن ذلك إلّا بالتبادل، لا خروج غير المُتعيّن إلى المُتعيّن، بحيث يملك كلّ منهما حصّته الخاصّة به في نفس الأمر بلا تبادل؛ فإنَّه غير معقول في المُشاع، و مُخالف لارتكاز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التزامه بمملوكيّة الأمر الانتزاعيّ، و عدم مملوكيّة العين الخارجية لأحدٍ، و انتساب المملوكيّة إليها، لكونها مورداً لما هو مملوك، فإنَّه من غريب الالتزامات، بل لو لم يكن لما التزمه من الإشاعة إلّا هذا التالي لكفى في فساده؛ لأنَّ الضرورة قائمة عند العُقلاء بأنَّ المملوك للشركاء هو نفس الأعيان، لا الأمر الانتزاعيّ، و تكون العين غير مملوكة لأحد، كما نصّ عليه في جملة من كلامه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إذا كانت عين مملوكة لأحد، فلا إشكال كما اعترف به في أنّها مملوكة بالذات له، و الكسور مملوكة بالعرض، فإذا باع نصفها لزم بناءً على قوله أن يبيع ما لا يملكه إلّا بالعرض؛ أي الأمر الانتزاعيّ، و لا يبيع مملوكه، و أنَّ ملكه صار مسلوباً عن العين بلا سبب، و مُتعلّقاً بأمر انتزاعيّ بلا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إنَّ ما توهّمه في المقام تحقيقاً و تدقيقاً من فلتاته التي لا تغفر لمثله، و هو من خلط العقليّات بالعرفيّات، و الفلسفة بالفقه و من اللّازم على المُشتغلين الاحتراز عنه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اتّضح اعتبار الإشاعة في الأعيان تكون اليد على المُشاع أيضاً مُمكنة؛ ضرورة</w:t>
      </w:r>
    </w:p>
    <w:p>
      <w:pPr>
        <w:pStyle w:val="BookText"/>
        <w:rPr/>
      </w:pPr>
      <w:r>
        <w:rPr>
          <w:rFonts w:ascii="Amiri" w:hAnsi="Amiri" w:eastAsia="Amiri" w:cs="Amiri"/>
          <w:color w:val="111111"/>
          <w:sz w:val="28"/>
          <w:sz w:val="28"/>
          <w:szCs w:val="28"/>
          <w:rtl w:val="true"/>
          <w:lang w:bidi="ar-SA"/>
        </w:rPr>
        <w:t>أَنَّ الشريكين تكون يد كلّ منهما على ملكه مُستقلّة، و لا تكون له يد على ملك الغير أصلًا؛ فإنَّ اليد هي الاستيلاء و السلطنة الفعليّة على الشي‌ء، و كلّ منهما يكوم مُستولياً على نصف العين، يجوز له النقل و جميع التصرّفات التي لا يستلزم منها التصرّف في مال الغير، و عدم جواز التصرّف الخارجيّ لكلّ منهما في العين ليس لأجل نقصان يده لملكه، بل لاستلزام التصرّف في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الشريكين تكون لكلّ منهما يد مُستقلّة على ماله، دون مال الآخر، و ليس لواحدٍ منهما يد ناقصة على التمام، و لا معنى لذلك؛ لأنَّ لازمه أن يكون كلّ منهما مسلّطاً على مال صاحبه، و ناقص السلطنة على ملك نفسه، و 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مقام الثبوت و الواقع، فإذا كانت يد شخصين على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رأينا شخصين يتصرّفان في أمتعة بيت أو دكّة، أو يدبّران أمر 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العُقلاء لأجل يدهما بأنّهما شريكان في الأمتعة و الضيعة، و يكون لكلٍّ منهما النصف المُشاع، و أنَّ تصرّفهما في الجميع يكون بإذن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اليد كاشفة عن الملكيّة المُشاعة، و قد عرفت أنَّ، يد كلّ منهما في الملكيّة المُشاعة تكون مُستقلّة على ملكه فقط، و ليس له اليد على ملك غيره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 كلّ منهما على ماله استقلاليّة أصليّة، و على ملك غيره غير أصليّة تحتاج إلى الإذن، فاستيلاء كلٍّ منهما على جميع المال لا يمكن أن يكون بالأصالة و الاستقلال،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الاستيلاء الناقص يكون على تمام المال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ذهب إلى أنَّ الاستيلاء الناقص على التمام يكشف عن ملكيّة النصف المُشاع، فلا وجه لكشف الاستيلاء على التمام ناقصاً عن ملكيّة نصفه تامّاً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ذهب إلى أنَّه يكشف عن الملكيّة الناقصة للتمام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كلّ واحدٍ منهما</w:t>
      </w:r>
      <w:bookmarkStart w:id="431" w:name="pg2245_13043"/>
    </w:p>
    <w:p>
      <w:pPr>
        <w:pStyle w:val="BookText"/>
        <w:rPr/>
      </w:pPr>
      <w:bookmarkEnd w:id="431"/>
      <w:r>
        <w:rPr>
          <w:rFonts w:ascii="Amiri" w:hAnsi="Amiri" w:eastAsia="Amiri" w:cs="Amiri"/>
          <w:color w:val="111111"/>
          <w:sz w:val="28"/>
          <w:sz w:val="28"/>
          <w:szCs w:val="28"/>
          <w:rtl w:val="true"/>
          <w:lang w:bidi="ar-SA"/>
        </w:rPr>
        <w:t>ليس بمالك، بل مجموعهما مالك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ترى</w:t>
      </w:r>
    </w:p>
    <w:p>
      <w:pPr>
        <w:pStyle w:val="BookText"/>
        <w:rPr/>
      </w:pPr>
      <w:r>
        <w:rPr>
          <w:rFonts w:ascii="Amiri" w:hAnsi="Amiri" w:eastAsia="Amiri" w:cs="Amiri"/>
          <w:color w:val="111111"/>
          <w:sz w:val="28"/>
          <w:sz w:val="28"/>
          <w:szCs w:val="28"/>
          <w:rtl w:val="true"/>
          <w:lang w:bidi="ar-SA"/>
        </w:rPr>
        <w:t>و إن ذهب إلى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الاستيلاء على التمام إنّما يكون استيلاء على البعض المُشاع تامّاً و استقلالًا، و يكشف عن ملكيّة كذلك، و على البعض الآخر بتبع استيلاء الآخر فلا 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المُتصرّفين اللّذين لا نزاع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مقام التنازع، فإنَّه إذا كانت عين في يد شخصين، و كلّ منهما يدّعي أنّها له و صاحبه غاصب، يكون كلّ منهما بالنسبة إلى نصفه المُشاع مُدّعياً، و بالنسبة إلى نصفه الآخر مُنكراً، و تحقيق الحال موكول إلى كتاب القضاء</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614195_3804643083"/>
      <w:bookmarkStart w:id="433" w:name="_Toc158"/>
      <w:bookmarkEnd w:id="432"/>
      <w:r>
        <w:rPr>
          <w:rtl w:val="true"/>
        </w:rPr>
        <w:t>الجهة السادسة في إقامة الدعوى على ذي اليد و فروعها</w:t>
      </w:r>
      <w:bookmarkEnd w:id="433"/>
    </w:p>
    <w:p>
      <w:pPr>
        <w:pStyle w:val="Heading5"/>
        <w:numPr>
          <w:ilvl w:val="4"/>
          <w:numId w:val="1"/>
        </w:numPr>
        <w:rPr/>
      </w:pPr>
      <w:bookmarkStart w:id="434" w:name="__RefHeading___Toc1614197_3804643083"/>
      <w:bookmarkStart w:id="435" w:name="_Toc159"/>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إذا كان في مُقابل ذي اليد من يدّعي الملكيّة، و رفع الأمر إلى الحاكم، فلا أثر لعلم الحاكم بملكيّته السابقة للمُدّعي، و لا لقيام البيّنة عليها في انقلاب الدعوى؛ و جعل المُدّعي منكراً، و المنكر مُدّعياً، فإنَّ ثبوت الملكيّة السابقة لا أثر له، و استصحاب الملكيّة لا يعارض اليد؛ لحكومتها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اعترف ذو اليد بأنَّه كان مُلكاً له سابقاً، فتارة تنضمّ إلى ذلك دعوى الانتقال منه إليه، و اخرى تنضمّ إليه دعوى انتقاله إلى ثالث، و منه إليه،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اعترافه بأنَّه كان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ينتقل إلى ثالث، لكن مع ذلك ملك له الآن،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 إلى اعترافه شيئاً، فيدّعي الملكيّة، و يعترف بأنَّه كان ملكاً للمُدَّعي سابقاً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انقلاب الدعوى في الصورة الاولى إن أنكر ذو اليد دعواه، و أمّا مع</w:t>
      </w:r>
      <w:bookmarkStart w:id="436" w:name="pg2245_13044"/>
    </w:p>
    <w:p>
      <w:pPr>
        <w:pStyle w:val="BookText"/>
        <w:rPr/>
      </w:pPr>
      <w:bookmarkEnd w:id="436"/>
      <w:r>
        <w:rPr>
          <w:rFonts w:ascii="Amiri" w:hAnsi="Amiri" w:eastAsia="Amiri" w:cs="Amiri"/>
          <w:color w:val="111111"/>
          <w:sz w:val="28"/>
          <w:sz w:val="28"/>
          <w:szCs w:val="28"/>
          <w:rtl w:val="true"/>
          <w:lang w:bidi="ar-SA"/>
        </w:rPr>
        <w:t>عدم إنكاره، و دعوى عدم علمه، فلا تنقلب الدعوى، فيكون ذو اليد مُنكراً، لأنَّ مصبّ الدعوى هو ملكيّته في الحال، لا انتقاله و عدم انتقاله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نتقلب في الصورة الثانية، أنكر المُدّعى انتقاله إلى ثالث أو لا، أمّا مع عدم الإنكار فواضح، و أمّا مع إنكاره فلأنَّ دعوى الانتقال إلى الثالث و إنكارها لا أثر لهما، فلا تكون ميزان فصل الخصومة؛ لأنَّ قيام البيّنة على انتقاله إلى ثالث، و الحلف على عدمه لا يفصلان الخصومة؛ إذا لا ربط لتلك الدعوى و الإنكار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الصورة الثالثة تنقلب على الظاهر؛ لأنَّ دعوى الملكيّة الحاليّة، و الاعتراف بكونه للطرف سابقاً، و عدم الانتقال منه إلى ثالث يلازم عرفاً لدعوى الانتقال، و إن لا يخلو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الصورة الرابعة لا تنقلب؛ لعدم الدعوى صريحاً و لا بملازمة عقليّة أو عُرفيّة</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1614199_3804643083"/>
      <w:bookmarkStart w:id="438" w:name="_Toc160"/>
      <w:bookmarkEnd w:id="437"/>
      <w:r>
        <w:rPr>
          <w:rtl w:val="true"/>
        </w:rPr>
        <w:t>تنبيه الاحتجاج في أمر فَدَك</w:t>
      </w:r>
      <w:bookmarkEnd w:id="438"/>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احتجاج أمير المؤمنين و الصدّيقة الطاهرة عليهما السلام على أبي بكر في أمر فدك؛ بأنَّ مُطالبة البيّنة من ذي اليد مُخالفة لحكم اللَّه و رسوله، مع أنَّ فاطمة ادّعت انتقالها إليها من رسول اللَّه صلى اللَّه عليه و آله و سلم نِحْلة، يُخالف ما ذكر من انقلاب الدعوى مع دعوى الانتقال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على ما أفاده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دعوى الانتقال لا توجب</w:t>
      </w:r>
    </w:p>
    <w:p>
      <w:pPr>
        <w:pStyle w:val="BookText"/>
        <w:rPr/>
      </w:pPr>
      <w:r>
        <w:rPr>
          <w:rFonts w:ascii="Amiri" w:hAnsi="Amiri" w:eastAsia="Amiri" w:cs="Amiri"/>
          <w:color w:val="111111"/>
          <w:sz w:val="28"/>
          <w:sz w:val="28"/>
          <w:szCs w:val="28"/>
          <w:rtl w:val="true"/>
          <w:lang w:bidi="ar-SA"/>
        </w:rPr>
        <w:t>الانقلاب ما لم يقابلها الإنكار، و القوم لم ينكروا على فاطمة سلام اللَّه عليها دعواها، بل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فدكاً في‌ء المُسلمين، و لا بدّ من إقامة البيّنة على الانتقال، مع أنّها ذو اليد، و لم يكن في مقابل يدها إلّا دعوى أنّها في‌ء المُسلمين، لا إنكار دعواها حتّى تنقلب الدعوى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أفاده بعض أعاظم العصر رحمه اللَّه في مقام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إقرارها لا يُوجب انقلاب الدعوى، و ليس إقرارها كإقرار ذي اليد بأنَّ المال كان لمن يرثه المُدّعي؛ لأنَّ انتقال الملك من النبيّ صلى اللَّه عليه و آله إلى المُسلمين على فرض صحة ما نسب إليه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معاشر الأنبياء لا نورّث </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إلى آخره ليس كانتقال الملك إلى الوارث؛ لأنَّ انتقاله إلى الوارث إنّما هو بتبدّل المالك و قيامه مقام المورّث، و انتقاله منه إلى المُسلمين كانتقال المال من الموصي إلى الموصى له، و من الواهب إلى المتّهب بإعدام إضافة، و إيجاد إضافة اخرى لأنَّ تبدّل الإضافة قد يكون من طرف المملوك، كعقود المعاوضات، و قد يكون من طرف المالك كالإرث، فإنَّ التبدّل من قبل المالك، مع بقاء المملوك على ما هو عليه، فيقوم الوارث مقام المورّث في الإضافة، و قد يكون بتبدّل نفسها؛ بمعنى أنَّه تنعدم الإضافة القائمة بين المالك و المملوك، و تحدث إضافة اخرى لمالك آخر، كما في الهبة و الوصيّة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انتقال المال من النبيّ صلى اللَّه عليه و آله إلى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الخبر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كانتقاله إلى الوارث، بل هو أشبه بانتقال المال الموصى به إلى الموصى له؛ فإنَّ المال بعد موته يصرف في مصالحهم، و من المعلوم أنَّ إقرار ذي اليد بأنَّ المال كان ملكاً لمورّث المدّعي إنّما يوجب الانقلاب من حيث إنَّ الإقرار للمورّث إقرار للوارث؛ لقيامه مقامه في طرف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الإقرار للأجنبيّ فلا يوجب الانقلاب، و إقرار الصدّيقة سلام اللَّه عليها يكون سبيله سبيل الإقرار للأجنبيّ و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أيضاً كالأجنبيّ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المُسلمون ورّاثاً لرسول اللَّه صلى اللَّه عليه و آله في ذلك كان الانقلاب حقّاً، لكنّه خلاف الواقع </w:t>
      </w:r>
      <w:r>
        <w:rPr>
          <w:rStyle w:val="FootnoteAnchor"/>
          <w:rtl w:val="true"/>
        </w:rPr>
        <w:footnoteReference w:id="564"/>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الإرث كذلك ممنوع، لا دليل عليه نقلًا و لا في اعتبارات العقلاء، أمّا نقلًا فيظهر بالتتبّع في الآيات و الأخبار الواردة في الإرث، و أمّا اعتباراً فلأنَّ المال ينتقل إلى الوارث في اعتباراتهم، لا أنَّه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أحد عن ابن و بنت و أمّ و أب و زوجة، فهل تجد من نفسك في اعتبارات العُقلاء أن تقوم الورثة مقامه بمقدار إرثهم، فتقوم الزوجة مقامه في الثمن أو مقام ثمنه، و الابن مقام ثلثيه من البقيّة أو مقامه في الثلثين،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هذا إلّا أمر مُستنكر عقلًا و لدى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يفهم العُقلاء من آيات الإرث و أخباره إلّا الانتقال، و لو دلّ ظاهر دليل على ما ادّعي يجب صرفه، مع أنَّه لا دليل عليه، و إن مارت به بعض الألسن 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الهبة و الوصيّة من قبيل ما ذكره محلّ منع؛ ضرورة أنَّ اعتبار الهبة و الوصيّة التمليكيّة هو إعطاء المال و نقله، لا إعدام إضافة، و إيجاد إضافة اخرى</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إيجاد الإضافة بين المال و غيره لا بدّ و أن يتأخّر عن إعدامها بينه و بين نفسه، مع أنَّه بإعدامها يصير المال أجنبيّاً عنه و تنقطع سلطنته عنه، فلا يمكن له إيجاد إضافة بينه و بين غيره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إيجاد الإضافة في عَرْض إعدامها، أو أنَّ الإيجاد مُقدَّم على الإعدام كما</w:t>
      </w:r>
    </w:p>
    <w:p>
      <w:pPr>
        <w:pStyle w:val="BookText"/>
        <w:rPr/>
      </w:pPr>
      <w:r>
        <w:rPr>
          <w:rFonts w:ascii="Amiri" w:hAnsi="Amiri" w:eastAsia="Amiri" w:cs="Amiri"/>
          <w:color w:val="111111"/>
          <w:sz w:val="28"/>
          <w:sz w:val="28"/>
          <w:szCs w:val="28"/>
          <w:rtl w:val="true"/>
          <w:lang w:bidi="ar-SA"/>
        </w:rPr>
        <w:t>ترى و لعمري إنَّ ما ذكره واضح البطلان في أمثال تلك العقود في اعتبارات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انقلاب الدعوى في باب دعوى الانتقال من مورّث المُدّعي ليس ما ذكره من قيام الورثة مقامه، بل المناط فيه هو كون هذه الدعوى و الإنكار ذات أثر شرعيّ، و يكون قيام البيّنة و الحلف مُوجبين لفصل الخصومة، و تكون حال هذه الدعوى بالنسبة إلى الدعوى الاولى كالأصل السببيّ و المُسببيّ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ادّعى ذو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انتقل إليه من مورّث المُدّعي، و أنكره المُدّعي، فإن أقام البيّنة على ذلك فهو، و إن حلف المُنكر على أنَّه لم ينتقل من مورّثه إليه يؤخذ المال و يردّ إليه؛ لكونه وارثاً له، و ينتقل ماله منه إليه، فيُثبت الحلف كونه مالًا لمورّثه، و أدلّة الإرث انتقالَه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المناط موجود في الوصيّة، فإذا أوصى أحد بماله لزيد، و ادّعى زيد أنَّ المال الذي في يد عمرو له، و ادّعى عمرو انتقاله من الموصي إليه، فتنقلب الدعوى؛ لعين ما ذكرنا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الحال فيما نحن فيه بناءً على الخبر الموضوع، فإنَّ دعوى الصدّيقة عليها السلام، انتقال فدك من رسول اللَّه صلى اللَّه عليه و آله إليها لو قوبلت بإنكار المُسلمين أو وليّ أمرهم على زعمهم صارت الدعوى مُنقلبة، و لم تكن هذه الدعوى كدعوى الانتقال من الأجنبيّ؛ لأنَّ الحلف على عدم الانتقال من الأجنبيّ إليها لا أثر له، بخلاف ما نحن فيه، فإنَّه لو ثبت عدم الانتقال منه إليها صار ملكاً للمُسلمين، فالحقّ في الجواب ما ذكرنا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تقابل دعواها بإنكار، كما يظهر من التواريخ الناقلة للقضيّة، فراجع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bookmarkStart w:id="439" w:name="pg2245_13048"/>
    </w:p>
    <w:p>
      <w:pPr>
        <w:pStyle w:val="Heading4"/>
        <w:numPr>
          <w:ilvl w:val="3"/>
          <w:numId w:val="1"/>
        </w:numPr>
        <w:rPr/>
      </w:pPr>
      <w:bookmarkStart w:id="440" w:name="__RefHeading___Toc1614201_3804643083"/>
      <w:bookmarkStart w:id="441" w:name="_Toc161"/>
      <w:bookmarkEnd w:id="439"/>
      <w:bookmarkEnd w:id="440"/>
      <w:r>
        <w:rPr>
          <w:rtl w:val="true"/>
        </w:rPr>
        <w:t>الجهة السابعة في فروع العلم بسابقة اليد</w:t>
      </w:r>
      <w:bookmarkEnd w:id="441"/>
    </w:p>
    <w:p>
      <w:pPr>
        <w:pStyle w:val="BookText"/>
        <w:rPr/>
      </w:pPr>
      <w:r>
        <w:rPr>
          <w:rFonts w:ascii="Amiri" w:hAnsi="Amiri" w:eastAsia="Amiri" w:cs="Amiri"/>
          <w:color w:val="111111"/>
          <w:sz w:val="28"/>
          <w:sz w:val="28"/>
          <w:szCs w:val="28"/>
          <w:rtl w:val="true"/>
          <w:lang w:bidi="ar-SA"/>
        </w:rPr>
        <w:t>إذا علم حال اليد، و أنّها حدثت على المال على وجه الغصب، أو الأمانة، أو العارية، أو نحو ذلك،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مقابل ذي اليد مُدّعٍ، 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مُقابله ذلك و لم يرفع الأمر إلى الحاكم،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الأمر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يدّعي ذو اليد الملكيّة و الانتقال من مالكه إليه، و تارة لا يدّعي، فإن ادّعاها فلا يبعد أن يترتّب على ما في يده آثار الملكيّة في غير الغاصب، و أمّا فيه فالظاهر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ترتيب الآثار في غيره من جهة أنَّه مدّع بلا مُعارض، أو من جهة قبول دعوى ذي اليد، أو من جهة اليد المُقارنة للدعوى؟</w:t>
      </w:r>
    </w:p>
    <w:p>
      <w:pPr>
        <w:pStyle w:val="BookText"/>
        <w:rPr/>
      </w:pPr>
      <w:r>
        <w:rPr>
          <w:rFonts w:ascii="Amiri" w:hAnsi="Amiri" w:eastAsia="Amiri" w:cs="Amiri"/>
          <w:color w:val="111111"/>
          <w:sz w:val="28"/>
          <w:sz w:val="28"/>
          <w:szCs w:val="28"/>
          <w:rtl w:val="true"/>
          <w:lang w:bidi="ar-SA"/>
        </w:rPr>
        <w:t>الظاهر أنَّه من جهة إحدى الأخيرتين، و لهذا لو عارضه غير المالك الأوّل يعدّ مدّعياً، و تطالب منه البيّنة، و أمّا مع عدم دعوى الملكيّة أو عملٍ منه يظهر دعواها، فلا يحكم بالملكيّة، كلّ ذلك من جهة بناء العُقلاء و 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اليد فيما علم حالها؛ فإنَّ اليد أمارة إذا كانت مجهولة الحال، غير معنونة بعنوان الإجازة مثلًا، و استصحاب حالها يوجب رفع موضوعها، و تنقيح عنوانها، فتسقط عن الحُجّية برفع الموضوع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تحكيم الاستصحاب على بعض الأدلّة بتنقيحٍ و رفعٍ إنّما هو في الأدلّة اللّفظية، لا في مثل بناء العقلاء، فإنَّه إن كان غير ثابت أو غير مُحقّق في مورد مسبوقيّة اليد بالإجارة أو العارية فمعها ساقط عن الحُجّية، كان استصحاب شرعيّ أولا، أو ثابت</w:t>
      </w:r>
      <w:bookmarkStart w:id="442" w:name="pg2245_13049"/>
    </w:p>
    <w:p>
      <w:pPr>
        <w:pStyle w:val="BookText"/>
        <w:rPr/>
      </w:pPr>
      <w:bookmarkEnd w:id="442"/>
      <w:r>
        <w:rPr>
          <w:rFonts w:ascii="Amiri" w:hAnsi="Amiri" w:eastAsia="Amiri" w:cs="Amiri"/>
          <w:color w:val="111111"/>
          <w:sz w:val="28"/>
          <w:sz w:val="28"/>
          <w:szCs w:val="28"/>
          <w:rtl w:val="true"/>
          <w:lang w:bidi="ar-SA"/>
        </w:rPr>
        <w:t xml:space="preserve">معها، فلا تأثير للاستصحاب، إلّا أن يُدّعى رادعيّته عن بنائهم، و هو أيضاً غير صالح لذلك، كما قلنا في نظائره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تعليق بنائهم على عدم قيام حُجّة شرعية كما ترى و بناؤهم و إن كان في ظرف الشكّ، لكنّ الاستصحاب لا ينقّح الموضوع عند العُقلاء بما هم عُقلاء، فما افيد في المقام ساقط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المُعارض غير المالك، فلا تسقط يده عن الاعتبار في غير الغاضب، و إن كان المالك يسقط اعتبارها لدى العُقلاء؛ لعدم بنائهم على ترتيب آثارها على 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صورة رفع الأمر إلى الحاكم، و مقام تشخيص المُدّعي من المُنكر فإن كان في مقابله المالك الأوّل تسقط يده عن الاعتبار، و يقدّم استصحاب حال اليد على قاعدة اليد؛ لأنَّه أصل موضوعيّ حاكم عليها، سواءً كان حال اليد معلوماً عند الحاكم وجداناً، أو بالبيّنة، أو بإقرار ذي اليد</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614203_3804643083"/>
      <w:bookmarkStart w:id="444" w:name="_Toc162"/>
      <w:bookmarkEnd w:id="443"/>
      <w:r>
        <w:rPr>
          <w:rtl w:val="true"/>
        </w:rPr>
        <w:t>الجهة الثامنة في كون ما في اليد وقفاً سابقاً</w:t>
      </w:r>
      <w:bookmarkEnd w:id="444"/>
    </w:p>
    <w:p>
      <w:pPr>
        <w:pStyle w:val="BookText"/>
        <w:rPr/>
      </w:pPr>
      <w:r>
        <w:rPr>
          <w:rFonts w:ascii="Amiri" w:hAnsi="Amiri" w:eastAsia="Amiri" w:cs="Amiri"/>
          <w:color w:val="111111"/>
          <w:sz w:val="28"/>
          <w:sz w:val="28"/>
          <w:szCs w:val="28"/>
          <w:rtl w:val="true"/>
          <w:lang w:bidi="ar-SA"/>
        </w:rPr>
        <w:t>إذا كان المال وقفاً سابقاً، فتارة يعلم حال اليد؛ و أنّها حدثت على الملك في حال وقفيّته، و احتمل طروّ بعض مسوّغات بيع الوقف و شرائه من وليّه، و تارة لا يعلم سابقتها، و احتمل حدوث اليد بعد طروّ مسوّغ البيع</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اليد عن الاعتبار سواءً دفع الأمر إلى الحاكم أم لا؛</w:t>
      </w:r>
    </w:p>
    <w:p>
      <w:pPr>
        <w:pStyle w:val="BookText"/>
        <w:rPr/>
      </w:pPr>
      <w:r>
        <w:rPr>
          <w:rFonts w:ascii="Amiri" w:hAnsi="Amiri" w:eastAsia="Amiri" w:cs="Amiri"/>
          <w:color w:val="111111"/>
          <w:sz w:val="28"/>
          <w:sz w:val="28"/>
          <w:szCs w:val="28"/>
          <w:rtl w:val="true"/>
          <w:lang w:bidi="ar-SA"/>
        </w:rPr>
        <w:t>لانصراف أدلّة اليد عن مثله، و عدم بناء العُقلاء على ترتيب آثار الملكيّة في مثله، و لعلّ سرّه أنَّ اعتبار اليد عندهم من أجل الغلبة النوعيّة، و طروّ مسوّغ بيع الوقف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رفع الأمر إلى الحاكم فإمّا أن يكون في مقابله أرباب الوقف، أو يكون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ذو اليد مُدّعياً يطالب بالبيّنة، و ينتزع منه الملك؛ لأنَّ اعتبار اليد إمّا يكون مُعلّقاً على إحراز قابليّة الملك للنقل و الانتقال، و إمّا أن يكون مُعلّقاً على عدم إحراز عدم القابليّة، فعلى الأوّل تسقط اليد عن الاعتبار و لو لم يكن في مقابلها الاستصحاب، و على الثاني يقدّم استصحاب الوقفيّة على اليد، لإحراز عدم القابليّة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ذو اليد مُدّعياً، و أرباب الوقف منكرين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في مُقابله غير أرباب الوقف، و ادّعى كلّ من ذي اليد و المُدّعي الملكيّة، فلا يبعد أن يكون مثل الدّعوى في ملك لا تكون يد عليه؛ لأنَّ اليد الغير المُعتبرة كلا يد، و للمسألة مقام آخر</w:t>
      </w:r>
      <w:r>
        <w:rPr>
          <w:rFonts w:eastAsia="Amiri" w:cs="Amiri" w:ascii="Amiri" w:hAnsi="Amiri"/>
          <w:color w:val="111111"/>
          <w:sz w:val="28"/>
          <w:szCs w:val="28"/>
          <w:rtl w:val="true"/>
          <w:lang w:bidi="ar-SA"/>
        </w:rPr>
        <w:t>.</w:t>
      </w:r>
      <w:bookmarkStart w:id="445" w:name="pg2245_13052"/>
    </w:p>
    <w:p>
      <w:pPr>
        <w:pStyle w:val="Heading3"/>
        <w:numPr>
          <w:ilvl w:val="2"/>
          <w:numId w:val="1"/>
        </w:numPr>
        <w:rPr/>
      </w:pPr>
      <w:bookmarkStart w:id="446" w:name="__RefHeading___Toc1614205_3804643083"/>
      <w:bookmarkStart w:id="447" w:name="_Toc163"/>
      <w:bookmarkEnd w:id="445"/>
      <w:bookmarkEnd w:id="446"/>
      <w:r>
        <w:rPr>
          <w:rtl w:val="true"/>
        </w:rPr>
        <w:t>المبحث الثاني حال الاستصحاب مع قاعدة التجاوز و الفراغ</w:t>
      </w:r>
      <w:bookmarkEnd w:id="447"/>
    </w:p>
    <w:p>
      <w:pPr>
        <w:pStyle w:val="Heading4"/>
        <w:numPr>
          <w:ilvl w:val="3"/>
          <w:numId w:val="1"/>
        </w:numPr>
        <w:rPr/>
      </w:pPr>
      <w:bookmarkStart w:id="448" w:name="__RefHeading___Toc1614207_3804643083"/>
      <w:bookmarkStart w:id="449" w:name="_Toc164"/>
      <w:bookmarkEnd w:id="448"/>
      <w:r>
        <w:rPr>
          <w:rtl w:val="true"/>
        </w:rPr>
        <w:t>اشارة</w:t>
      </w:r>
      <w:bookmarkEnd w:id="44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في تقديمها عليه، و إنّما الكلام في وجه التقدّم، و هو يظهر بعد ذكر مدركها، و لمّا كانت القاعدة ممّا تعمّ بها البلوى، فلا بأس بصرف عنان القلم إلى تفصيل مُهمّات مباحثها، و يتّضح في خلالها ما هو المقصود بالأصالة في المقام، و يتمّ ذلك في ضمن امور</w:t>
      </w:r>
      <w:r>
        <w:rPr>
          <w:rFonts w:eastAsia="Amiri" w:cs="Amiri" w:ascii="Amiri" w:hAnsi="Amiri"/>
          <w:color w:val="111111"/>
          <w:sz w:val="28"/>
          <w:szCs w:val="28"/>
          <w:rtl w:val="true"/>
          <w:lang w:bidi="ar-SA"/>
        </w:rPr>
        <w:t>:</w:t>
      </w:r>
      <w:bookmarkStart w:id="450" w:name="pg2245_13053"/>
    </w:p>
    <w:p>
      <w:pPr>
        <w:pStyle w:val="Heading4"/>
        <w:numPr>
          <w:ilvl w:val="3"/>
          <w:numId w:val="1"/>
        </w:numPr>
        <w:rPr/>
      </w:pPr>
      <w:bookmarkStart w:id="451" w:name="__RefHeading___Toc1614209_3804643083"/>
      <w:bookmarkStart w:id="452" w:name="_Toc165"/>
      <w:bookmarkEnd w:id="450"/>
      <w:bookmarkEnd w:id="451"/>
      <w:r>
        <w:rPr>
          <w:rtl w:val="true"/>
        </w:rPr>
        <w:t>الأمر الأوّل في ذكر الأخبار التي تُستفاد منها القاعدة الكليّة</w:t>
      </w:r>
      <w:bookmarkEnd w:id="452"/>
    </w:p>
    <w:p>
      <w:pPr>
        <w:pStyle w:val="BookText"/>
        <w:rPr/>
      </w:pPr>
      <w:r>
        <w:rPr>
          <w:rFonts w:ascii="Amiri" w:hAnsi="Amiri" w:eastAsia="Amiri" w:cs="Amiri"/>
          <w:color w:val="111111"/>
          <w:sz w:val="28"/>
          <w:sz w:val="28"/>
          <w:szCs w:val="28"/>
          <w:rtl w:val="true"/>
          <w:lang w:bidi="ar-SA"/>
        </w:rPr>
        <w:t>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الموثّقة المنقولة في خلل الصلاة،</w:t>
      </w:r>
    </w:p>
    <w:p>
      <w:pPr>
        <w:pStyle w:val="BookText"/>
        <w:rPr/>
      </w:pPr>
      <w:r>
        <w:rPr>
          <w:rFonts w:ascii="Amiri" w:hAnsi="Amiri" w:eastAsia="Amiri" w:cs="Amiri"/>
          <w:color w:val="111111"/>
          <w:sz w:val="28"/>
          <w:sz w:val="28"/>
          <w:szCs w:val="28"/>
          <w:rtl w:val="true"/>
          <w:lang w:bidi="ar-SA"/>
        </w:rPr>
        <w:t>عن محمّد بن الحسن، بإسناده عن الحسين ابن سعيد، عن صفوان، عن ابن بكير</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w:t>
      </w:r>
    </w:p>
    <w:p>
      <w:pPr>
        <w:pStyle w:val="BookText"/>
        <w:rPr/>
      </w:pP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المنقولة فيه،</w:t>
      </w:r>
    </w:p>
    <w:p>
      <w:pPr>
        <w:pStyle w:val="BookText"/>
        <w:rPr/>
      </w:pPr>
      <w:r>
        <w:rPr>
          <w:rFonts w:ascii="Amiri" w:hAnsi="Amiri" w:eastAsia="Amiri" w:cs="Amiri"/>
          <w:color w:val="111111"/>
          <w:sz w:val="28"/>
          <w:sz w:val="28"/>
          <w:szCs w:val="28"/>
          <w:rtl w:val="true"/>
          <w:lang w:bidi="ar-SA"/>
        </w:rPr>
        <w:t>عن محمّد بن الحسن، بإسناده عن أحمد بن محمّد، عن أحمد بن محمّد بن أبي نصر</w:t>
      </w:r>
      <w:r>
        <w:rPr>
          <w:rStyle w:val="FootnoteAnchor"/>
          <w:rtl w:val="true"/>
        </w:rPr>
        <w:footnoteReference w:id="570"/>
      </w:r>
      <w:r>
        <w:rPr>
          <w:rFonts w:ascii="Amiri" w:hAnsi="Amiri" w:eastAsia="Amiri" w:cs="Amiri"/>
          <w:color w:val="111111"/>
          <w:sz w:val="28"/>
          <w:sz w:val="28"/>
          <w:szCs w:val="28"/>
          <w:rtl w:val="true"/>
          <w:lang w:bidi="ar-SA"/>
        </w:rPr>
        <w:t>عن حمّاد بن عيسى، عن حَريز بن عبد اللَّه، عن زُرارة،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 قد دخل في الإقامة؟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 الإقامة و قد كبّر؟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التكبير و قد قرأ؟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القراءة و قد ركع؟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الركوع و قد سجد؟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على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خرجت من شي‌ءٍ ثمّ دخلت في غيره فشككت 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فشكّك ليس بشي‌ءٍ</w:t>
      </w:r>
      <w:r>
        <w:rPr>
          <w:rFonts w:eastAsia="Amiri" w:cs="Amiri" w:ascii="Amiri" w:hAnsi="Amiri"/>
          <w:color w:val="111111"/>
          <w:sz w:val="28"/>
          <w:szCs w:val="28"/>
          <w:rtl w:val="true"/>
          <w:lang w:bidi="ar-SA"/>
        </w:rPr>
        <w:t>)</w:t>
      </w:r>
    </w:p>
    <w:p>
      <w:pPr>
        <w:pStyle w:val="BookText"/>
        <w:rPr/>
      </w:pP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إسماعيل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الفهرست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المنقولة في أبواب الركوع،</w:t>
      </w:r>
    </w:p>
    <w:p>
      <w:pPr>
        <w:pStyle w:val="BookText"/>
        <w:rPr/>
      </w:pPr>
      <w:r>
        <w:rPr>
          <w:rFonts w:ascii="Amiri" w:hAnsi="Amiri" w:eastAsia="Amiri" w:cs="Amiri"/>
          <w:color w:val="111111"/>
          <w:sz w:val="28"/>
          <w:sz w:val="28"/>
          <w:szCs w:val="28"/>
          <w:rtl w:val="true"/>
          <w:lang w:bidi="ar-SA"/>
        </w:rPr>
        <w:t xml:space="preserve">عن محمّد بن الحسن، بإسناده عن سعد، عن أحمد بن محمّد، عن أبيه، عن عبد اللَّه بن المغيرة، عن إسماعيل بن جابر قال قال أبو جعفر عليه السلام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في الركوع بعد ما سجد فليمض، و إن شكّ في السجود بعد ما قام فليمض، كلّ شي‌ءٍ شكّ فيه ممّا قد جاوزه و دخل في غيره فليمض عليه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الإشكال في استفادة الكلّية منهما بالنسبة إلى جميع الأبواب، و لا وجه لرفع اليد عن ظهور الكلّية في ذيلهما بمُجرّد كون صدرهما مُرتبطاً بباب الصلاة</w:t>
      </w:r>
      <w:r>
        <w:rPr>
          <w:rStyle w:val="FootnoteAnchor"/>
          <w:rtl w:val="true"/>
        </w:rPr>
        <w:footnoteReference w:id="575"/>
      </w:r>
      <w:r>
        <w:rPr>
          <w:rFonts w:ascii="Amiri" w:hAnsi="Amiri" w:eastAsia="Amiri" w:cs="Amiri"/>
          <w:color w:val="111111"/>
          <w:sz w:val="28"/>
          <w:sz w:val="28"/>
          <w:szCs w:val="28"/>
          <w:rtl w:val="true"/>
          <w:lang w:bidi="ar-SA"/>
        </w:rPr>
        <w:t>، و لا يقصر ظهورهما في إعطاء الكلّية عن صحيحة زرارة في باب الاستصحاب، بل</w:t>
      </w:r>
    </w:p>
    <w:p>
      <w:pPr>
        <w:pStyle w:val="BookText"/>
        <w:rPr/>
      </w:pPr>
      <w:r>
        <w:rPr>
          <w:rFonts w:ascii="IRNazanin" w:hAnsi="IRNazanin" w:eastAsia="IRNazanin"/>
          <w:color w:val="111111"/>
          <w:sz w:val="28"/>
          <w:sz w:val="28"/>
          <w:szCs w:val="28"/>
          <w:rtl w:val="true"/>
          <w:lang w:bidi="fa-IR"/>
        </w:rPr>
        <w:t>دلالتهما أقوى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الثانية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الاولى فلأنَّ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إذا خرجت من شي‌ءٍ و دخلت في غيره فشكّك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أسئلة زُرارة التي تحيط بجميع أجزاء الصلاة تقريباً كالنصّ في العموم؛ و أنه قانون كلّي لجميع الأبواب، فرفع اليد عن إطلاق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 بمُجرّد المسبوقيّة بباب الصلاة، و هل هذا إلّا مثل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مخصوص بباب الوضوء؛ لكونه مسبوقاً بالسؤال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التفرقة بينهما ممّا لا وجه لها، مع أنَّ صحيحة ابن جابر أعطت الكلّية بلفظ العموم، و التخصيص بباب دون باب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ابن أبي يعفور المنقولة في أبواب الوضوء،</w:t>
      </w:r>
    </w:p>
    <w:p>
      <w:pPr>
        <w:pStyle w:val="BookText"/>
        <w:rPr/>
      </w:pPr>
      <w:r>
        <w:rPr>
          <w:rFonts w:ascii="Amiri" w:hAnsi="Amiri" w:eastAsia="Amiri" w:cs="Amiri"/>
          <w:color w:val="111111"/>
          <w:sz w:val="28"/>
          <w:sz w:val="28"/>
          <w:szCs w:val="28"/>
          <w:rtl w:val="true"/>
          <w:lang w:bidi="ar-SA"/>
        </w:rPr>
        <w:t>عن محمّد بن الحسن، عن المُفيد</w:t>
      </w:r>
      <w:r>
        <w:rPr>
          <w:rStyle w:val="FootnoteAnchor"/>
          <w:rtl w:val="true"/>
        </w:rPr>
        <w:footnoteReference w:id="576"/>
      </w:r>
      <w:r>
        <w:rPr>
          <w:rFonts w:ascii="Amiri" w:hAnsi="Amiri" w:eastAsia="Amiri" w:cs="Amiri"/>
          <w:color w:val="111111"/>
          <w:sz w:val="28"/>
          <w:sz w:val="28"/>
          <w:szCs w:val="28"/>
          <w:rtl w:val="true"/>
          <w:lang w:bidi="ar-SA"/>
        </w:rPr>
        <w:t xml:space="preserve">عن أحمد بن محمّد، عن أبيه، عن سعد بن عبد اللَّه </w:t>
      </w:r>
      <w:r>
        <w:rPr>
          <w:rStyle w:val="FootnoteAnchor"/>
          <w:rtl w:val="true"/>
        </w:rPr>
        <w:footnoteReference w:id="577"/>
      </w:r>
      <w:r>
        <w:rPr>
          <w:rFonts w:ascii="Amiri" w:hAnsi="Amiri" w:eastAsia="Amiri" w:cs="Amiri"/>
          <w:color w:val="111111"/>
          <w:sz w:val="28"/>
          <w:sz w:val="28"/>
          <w:szCs w:val="28"/>
          <w:rtl w:val="true"/>
          <w:lang w:bidi="ar-SA"/>
        </w:rPr>
        <w:t>عن أحمد بن محمّد بن عيسى، عن أحمد بن محمّد بن أبي نصر، عن عبد الكريم بن عمرو</w:t>
      </w:r>
      <w:r>
        <w:rPr>
          <w:rStyle w:val="FootnoteAnchor"/>
          <w:rtl w:val="true"/>
        </w:rPr>
        <w:footnoteReference w:id="578"/>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6618</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أبي</w:t>
      </w:r>
    </w:p>
    <w:p>
      <w:pPr>
        <w:pStyle w:val="BookText"/>
        <w:rPr/>
      </w:pPr>
      <w:r>
        <w:rPr>
          <w:rFonts w:ascii="Amiri" w:hAnsi="Amiri" w:eastAsia="Amiri" w:cs="Amiri"/>
          <w:color w:val="111111"/>
          <w:sz w:val="28"/>
          <w:sz w:val="28"/>
          <w:szCs w:val="28"/>
          <w:rtl w:val="true"/>
          <w:lang w:bidi="ar-SA"/>
        </w:rPr>
        <w:t>يعفور</w:t>
      </w:r>
      <w:r>
        <w:rPr>
          <w:rStyle w:val="FootnoteAnchor"/>
          <w:rtl w:val="true"/>
        </w:rPr>
        <w:footnoteReference w:id="579"/>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 قد دخلت في غيره فليس شكّك بشي‌ءٍ، إنّما الشكّ إذا كنت في شي‌ءٍ لم تجزه</w:t>
      </w:r>
      <w:r>
        <w:rPr>
          <w:rFonts w:eastAsia="Amiri" w:cs="Amiri" w:ascii="Amiri" w:hAnsi="Amiri"/>
          <w:color w:val="111111"/>
          <w:sz w:val="28"/>
          <w:szCs w:val="28"/>
          <w:rtl w:val="true"/>
          <w:lang w:bidi="ar-SA"/>
        </w:rPr>
        <w:t>)</w:t>
      </w:r>
    </w:p>
    <w:p>
      <w:pPr>
        <w:pStyle w:val="BookText"/>
        <w:rPr/>
      </w:pPr>
      <w:r>
        <w:rPr>
          <w:rStyle w:val="FootnoteAnchor"/>
          <w:rtl w:val="true"/>
        </w:rPr>
        <w:footnoteReference w:id="580"/>
      </w:r>
      <w:r>
        <w:rPr>
          <w:rFonts w:ascii="Amiri" w:hAnsi="Amiri" w:eastAsia="Amiri" w:cs="Amiri"/>
          <w:color w:val="111111"/>
          <w:sz w:val="28"/>
          <w:sz w:val="28"/>
          <w:szCs w:val="28"/>
          <w:rtl w:val="true"/>
          <w:lang w:bidi="ar-SA"/>
        </w:rPr>
        <w:t>حيث حصر الشكّ المُعتبر في الشكّ في الشي‌ء حين الاشتغال به؛ و أنَّ الشكّ إذا لم يكن حادثاً حين الاشتغال ليس بشي‌ءٍ، و هذه في إعطاء الكلّية كصحيحة زُرارة المُتقدّمة، و كصحيحته في باب الاستصحاب، و سيأتي التعرّض لحال الوضوء وفقه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بكير بن أعين المنقولة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الحسن، بإسناده عن الحسين بن سعيد، عن فضالة، عن أبان بن عثمان </w:t>
      </w:r>
      <w:r>
        <w:rPr>
          <w:rStyle w:val="FootnoteAnchor"/>
          <w:rtl w:val="true"/>
        </w:rPr>
        <w:footnoteReference w:id="581"/>
      </w:r>
      <w:r>
        <w:rPr>
          <w:rFonts w:ascii="Amiri" w:hAnsi="Amiri" w:eastAsia="Amiri" w:cs="Amiri"/>
          <w:color w:val="111111"/>
          <w:sz w:val="28"/>
          <w:sz w:val="28"/>
          <w:szCs w:val="28"/>
          <w:rtl w:val="true"/>
          <w:lang w:bidi="ar-SA"/>
        </w:rPr>
        <w:t xml:space="preserve">عن بكير بن أعين </w:t>
      </w:r>
      <w:r>
        <w:rPr>
          <w:rStyle w:val="FootnoteAnchor"/>
          <w:rtl w:val="true"/>
        </w:rPr>
        <w:footnoteReference w:id="582"/>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الرجل يشكّ بعد ما يتوضّأ؟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أنَّ الميزان لعدم الاعتناء بالشكّ هو الأذكريّة حين الوضوء، و معلوم أنَّ العرف يلغي خصوصيّة الوضوء؛ إذ لا دخالة له في الأذكريّة، فيفهم منه أنَّ الحيثيّة التي هي تامّة الدخالة و تمام الموضوع للحكم هي نفس الأذكريّة حين العمل، و أنَّ كلّ عامل حين اشتغاله بعمله أذكر منه بعد التجاوز منه؛ حيث يكون تمام همّه إتيان العمل على</w:t>
      </w:r>
    </w:p>
    <w:p>
      <w:pPr>
        <w:pStyle w:val="BookText"/>
        <w:rPr/>
      </w:pPr>
      <w:r>
        <w:rPr>
          <w:rFonts w:ascii="Amiri" w:hAnsi="Amiri" w:eastAsia="Amiri" w:cs="Amiri"/>
          <w:color w:val="111111"/>
          <w:sz w:val="28"/>
          <w:sz w:val="28"/>
          <w:szCs w:val="28"/>
          <w:rtl w:val="true"/>
          <w:lang w:bidi="ar-SA"/>
        </w:rPr>
        <w:t>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مُسلم المنقولة في أبواب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عليّ بن الحسين، بإسناده عن مُحمّد بن مُسلم،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الرجل بعد ما صلّى، فلم يدرِ ثلاثاً صلّى أم أربعاً، و كان يقينه حين انصرف أنَّه كان قد أتمّ لم يعد الصلاة، و كان حين انصرف أقرب إلى الحقّ منه بعد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بحين الانصراف حين السلام؛ لأنَّ السلام هو الانصراف في لسان الروايات، و يُستفاد منها الضابط الكلّي و سرّ التشريع، و معلوم أنَّه حين اشتغاله بكلّ عمل أقرب إلى الحقّ منه حين يشكّ،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و الفضيل المنقولة في أبواب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يعقوب، عن عليّ بن إبراهيم، عن أبيه، عن ابن أبي عُمير، عن حمّاد، عن حَريز، عن زُرارة و الفضيل </w:t>
      </w:r>
      <w:r>
        <w:rPr>
          <w:rStyle w:val="FootnoteAnchor"/>
          <w:rtl w:val="true"/>
        </w:rPr>
        <w:footnoteReference w:id="585"/>
      </w:r>
      <w:r>
        <w:rPr>
          <w:rFonts w:ascii="Amiri" w:hAnsi="Amiri" w:eastAsia="Amiri" w:cs="Amiri"/>
          <w:color w:val="111111"/>
          <w:sz w:val="28"/>
          <w:sz w:val="28"/>
          <w:szCs w:val="28"/>
          <w:rtl w:val="true"/>
          <w:lang w:bidi="ar-SA"/>
        </w:rPr>
        <w:t>عن أبي جعفر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استيقنت أو شككت في وقت فريضة أنّك لم تُصلّها، أو في وقت فوتها أنّك لم تُصلّها صلّيتها، و إن شككت بعد ما خرج وقت الفوت و قد دخل حائل فلا إعادة عليك من شكّ حتّى تستيقن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تؤيّد الكلّية المُستفادة من الروايات لو قلنا بأنَّ الشكّ بعد الوقت من</w:t>
      </w:r>
    </w:p>
    <w:p>
      <w:pPr>
        <w:pStyle w:val="BookText"/>
        <w:rPr/>
      </w:pPr>
      <w:r>
        <w:rPr>
          <w:rFonts w:ascii="Amiri" w:hAnsi="Amiri" w:eastAsia="Amiri" w:cs="Amiri"/>
          <w:color w:val="111111"/>
          <w:sz w:val="28"/>
          <w:sz w:val="28"/>
          <w:szCs w:val="28"/>
          <w:rtl w:val="true"/>
          <w:lang w:bidi="ar-SA"/>
        </w:rPr>
        <w:t>مصاديق قاعدة التجاوز، و ليس قاعدة برأسها، كما لا يبعد؛ فإنَّ المُستفاد منها أنَّ سرّ عدم الاعتناء هو دخول الحائل و الخروج عن المحلّ المُقرّر الشرعيّ، لكن فيها تأمّل و إشكال، و إن لم تخلُ من تأييد و إشعار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روايات اخر تستفاد منها الكلّية في باب الصلاة و الطهور</w:t>
      </w:r>
      <w:r>
        <w:rPr>
          <w:rStyle w:val="FootnoteAnchor"/>
          <w:rtl w:val="true"/>
        </w:rPr>
        <w:footnoteReference w:id="587"/>
      </w:r>
      <w:r>
        <w:rPr>
          <w:rFonts w:ascii="Amiri" w:hAnsi="Amiri" w:eastAsia="Amiri" w:cs="Amiri"/>
          <w:color w:val="111111"/>
          <w:sz w:val="28"/>
          <w:sz w:val="28"/>
          <w:szCs w:val="28"/>
          <w:rtl w:val="true"/>
          <w:lang w:bidi="ar-SA"/>
        </w:rPr>
        <w:t>أو الصلاة فقط</w:t>
      </w:r>
      <w:r>
        <w:rPr>
          <w:rStyle w:val="FootnoteAnchor"/>
          <w:rtl w:val="true"/>
        </w:rPr>
        <w:footnoteReference w:id="588"/>
      </w:r>
      <w:r>
        <w:rPr>
          <w:rFonts w:ascii="Amiri" w:hAnsi="Amiri" w:eastAsia="Amiri" w:cs="Amiri"/>
          <w:color w:val="111111"/>
          <w:sz w:val="28"/>
          <w:sz w:val="28"/>
          <w:szCs w:val="28"/>
          <w:rtl w:val="true"/>
          <w:lang w:bidi="ar-SA"/>
        </w:rPr>
        <w:t>، و تدلّ على الكلّية في جميع الأبواب</w:t>
      </w:r>
    </w:p>
    <w:p>
      <w:pPr>
        <w:pStyle w:val="BookText"/>
        <w:rPr/>
      </w:pPr>
      <w:r>
        <w:rPr>
          <w:rFonts w:ascii="Amiri" w:hAnsi="Amiri" w:eastAsia="Amiri" w:cs="Amiri"/>
          <w:color w:val="111111"/>
          <w:sz w:val="28"/>
          <w:sz w:val="28"/>
          <w:szCs w:val="28"/>
          <w:rtl w:val="true"/>
          <w:lang w:bidi="ar-SA"/>
        </w:rPr>
        <w:t xml:space="preserve">مُرسلة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شككت أن لم تؤذّن و قد أقمت فامض، و إن شككت في الإقامة بعد ما كبّرت فامض، و إن شككت في القراءة بعد ما ركعت فامض، و إن شككت في الركوع بعد ما سجدت فامض، و كلّ شي‌ءٍ شككت فيه و قد دخلت في حالة اخرى فامض، و لا تلتفت إلى الشكّ إلّا أن تستيقن</w:t>
      </w:r>
      <w:r>
        <w:rPr>
          <w:rFonts w:eastAsia="Amiri" w:cs="Amiri" w:ascii="Amiri" w:hAnsi="Amiri"/>
          <w:color w:val="111111"/>
          <w:sz w:val="28"/>
          <w:szCs w:val="28"/>
          <w:rtl w:val="true"/>
          <w:lang w:bidi="ar-SA"/>
        </w:rPr>
        <w:t>)</w:t>
      </w:r>
    </w:p>
    <w:p>
      <w:pPr>
        <w:pStyle w:val="BookText"/>
        <w:rPr/>
      </w:pP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إرسال مثل الصدوق بنحو الجزم، و أنه قال الصادق عليه السلام كذا</w:t>
      </w:r>
      <w:r>
        <w:rPr>
          <w:rStyle w:val="FootnoteAnchor"/>
          <w:rtl w:val="true"/>
        </w:rPr>
        <w:footnoteReference w:id="590"/>
      </w:r>
      <w:r>
        <w:rPr>
          <w:rFonts w:ascii="Amiri" w:hAnsi="Amiri" w:eastAsia="Amiri" w:cs="Amiri"/>
          <w:color w:val="111111"/>
          <w:sz w:val="28"/>
          <w:sz w:val="28"/>
          <w:szCs w:val="28"/>
          <w:rtl w:val="true"/>
          <w:lang w:bidi="ar-SA"/>
        </w:rPr>
        <w:t>يسلك الرواية عندي في سلك الموثّقات؛ فإنَّه بمنزلة توثيق رواتها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احتمال كون هذه الرواية المُرسلة عين صحيحة إسماعيل و زُرارة نقلهما بالمعنى أو كونها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لكنّ رفع اليد عن ظهورها الخاصّ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بمُجرّد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شككت في شي‌ءٍ و أنت في حال اخرى فامض، و لا تلتفت إلى الشكّ إلّا أن تستيقن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استفادة الكلّية من الروايات</w:t>
      </w:r>
      <w:r>
        <w:rPr>
          <w:rFonts w:eastAsia="Amiri" w:cs="Amiri" w:ascii="Amiri" w:hAnsi="Amiri"/>
          <w:color w:val="111111"/>
          <w:sz w:val="28"/>
          <w:szCs w:val="28"/>
          <w:rtl w:val="true"/>
          <w:lang w:bidi="ar-SA"/>
        </w:rPr>
        <w:t>.</w:t>
      </w:r>
      <w:bookmarkStart w:id="453" w:name="pg2245_13059"/>
    </w:p>
    <w:p>
      <w:pPr>
        <w:pStyle w:val="Heading4"/>
        <w:numPr>
          <w:ilvl w:val="3"/>
          <w:numId w:val="1"/>
        </w:numPr>
        <w:rPr/>
      </w:pPr>
      <w:bookmarkStart w:id="454" w:name="__RefHeading___Toc1614211_3804643083"/>
      <w:bookmarkStart w:id="455" w:name="_Toc166"/>
      <w:bookmarkEnd w:id="453"/>
      <w:bookmarkEnd w:id="454"/>
      <w:r>
        <w:rPr>
          <w:rtl w:val="true"/>
        </w:rPr>
        <w:t>الأمر الثاني أنَّ المُراد من الشكّ في الشي‌ء هو الشكّ في الوجود</w:t>
      </w:r>
      <w:bookmarkEnd w:id="455"/>
    </w:p>
    <w:p>
      <w:pPr>
        <w:pStyle w:val="BookText"/>
        <w:rPr/>
      </w:pPr>
      <w:r>
        <w:rPr>
          <w:rFonts w:ascii="Amiri" w:hAnsi="Amiri" w:eastAsia="Amiri" w:cs="Amiri"/>
          <w:color w:val="111111"/>
          <w:sz w:val="28"/>
          <w:sz w:val="28"/>
          <w:szCs w:val="28"/>
          <w:rtl w:val="true"/>
          <w:lang w:bidi="ar-SA"/>
        </w:rPr>
        <w:t>هل المُراد من الشكّ في الشي‌ء في قوله في موثّقة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صحيحتي زُرارة و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الأذان أو في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الشكّ في الوجود، و المُراد من المُضيّ مُضيّ محلّه، و من الخروج هو الخروج عن محلّه المُقرّر؟</w:t>
      </w:r>
    </w:p>
    <w:p>
      <w:pPr>
        <w:pStyle w:val="BookText"/>
        <w:rPr/>
      </w:pPr>
      <w:r>
        <w:rPr>
          <w:rFonts w:ascii="Amiri" w:hAnsi="Amiri" w:eastAsia="Amiri" w:cs="Amiri"/>
          <w:color w:val="111111"/>
          <w:sz w:val="28"/>
          <w:sz w:val="28"/>
          <w:szCs w:val="28"/>
          <w:rtl w:val="true"/>
          <w:lang w:bidi="ar-SA"/>
        </w:rPr>
        <w:t>أو المُراد الشكّ في صحّة الشي‌ء، و من المُضيّ مُضيّ نفسه، و من الخروج من الشي‌ء الخروج من نفسه؟</w:t>
      </w:r>
    </w:p>
    <w:p>
      <w:pPr>
        <w:pStyle w:val="BookText"/>
        <w:rPr/>
      </w:pPr>
      <w:r>
        <w:rPr>
          <w:rFonts w:ascii="Amiri" w:hAnsi="Amiri" w:eastAsia="Amiri" w:cs="Amiri"/>
          <w:color w:val="111111"/>
          <w:sz w:val="28"/>
          <w:sz w:val="28"/>
          <w:szCs w:val="28"/>
          <w:rtl w:val="true"/>
          <w:lang w:bidi="ar-SA"/>
        </w:rPr>
        <w:t>أو المُراد من الشكّ فيه الشكّ في الشي‌ء من جهة الشكّ في تحقّق جزء أو شرط مُعتبر فيه، و من المُضيّ و الخروج ما ذكر آنفاً؟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صدر الروايات؛ أي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شككت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شكّ 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الشكّ في الوجود، و ظاهر ذيلها؛ أي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مضى فأمضه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الموثّقة،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من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الصحيحتين هو الخروج و التجاوز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 لا يحتمل اختصاص السؤال بالثاني لبعده جداً، فحينئذٍ لا محيص عن رفع اليد عن ظاهر الذيل، بحمله إمّا على الخروج عن المحل أو الأعم، بناءً على أنَّ السؤال أعمّ منهما، أو مُحتمل للأمرين؛ لترك الاستفصال في الجواب منه قدّس سرّه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اليد عن ظهور ذيلها بظهور صدرها، فيكون المُراد منها المُضيّ و الخروج عن المحلّ المُقرّر لها،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ذيل صحيحة زُرارة مثلًا و كذا صحيحة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صدرها في الشكّ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إعطاء الكبرى الكلّية التي تكون تلك الأمثلة مصاديقها، فلا يفهم العرف بعد ذلك إلّا المُضيّ و الخروج عن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إن لا يخلو عن مُناقشة، لكن ربما يشهد له بعض الروايات التي ورد فيها الشكّ في الشي‌ء بمعنى الشكّ في الوجود</w:t>
      </w:r>
      <w:r>
        <w:rPr>
          <w:rStyle w:val="FootnoteAnchor"/>
          <w:rtl w:val="true"/>
        </w:rPr>
        <w:footnoteReference w:id="594"/>
      </w:r>
      <w:r>
        <w:rPr>
          <w:rFonts w:ascii="Amiri" w:hAnsi="Amiri" w:eastAsia="Amiri" w:cs="Amiri"/>
          <w:color w:val="111111"/>
          <w:sz w:val="28"/>
          <w:sz w:val="28"/>
          <w:szCs w:val="28"/>
          <w:rtl w:val="true"/>
          <w:lang w:bidi="ar-SA"/>
        </w:rPr>
        <w:t>أو حمل الإمام عليه السلام كلام السائل من الشكّ في الشي‌ء على الشكّ في الوجود، فيظهر منه أنَّ الشكّ في الشي‌ء هو الشكّ في الوجود بحسب المُتفاهم العرفيّ، و يضعف الاحتمال الآخر، فيقدّم ظهور الصدر على ظهور الذيل، كرواية الصدوق المُتقدّمة حيث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شككت أن لم تؤذّن و قد أقمت فامض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صريح في الشكّ في الوجود، فيكون المُراد من سائر الفقرات هو الشكّ في الوجود، فترفع الإجمال على فرضه عن صحيحتي زُرارة و إسماعيل اللتين يكون التعبير فيهما مُشابهاً لما في المُرسلة من الفقرات اللّاحقة لهذه الفقرة الصريحة في الشكّ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إرسال الصدوق في مثل الرواية و نسبة القول إلى الإمام عليه السلام جزماً لا يقصر عن توثيق أمثال الكشّي </w:t>
      </w:r>
      <w:r>
        <w:rPr>
          <w:rStyle w:val="FootnoteAnchor"/>
          <w:rtl w:val="true"/>
        </w:rPr>
        <w:footnoteReference w:id="595"/>
      </w:r>
      <w:r>
        <w:rPr>
          <w:rFonts w:ascii="Amiri" w:hAnsi="Amiri" w:eastAsia="Amiri" w:cs="Amiri"/>
          <w:color w:val="111111"/>
          <w:sz w:val="28"/>
          <w:sz w:val="28"/>
          <w:szCs w:val="28"/>
          <w:rtl w:val="true"/>
          <w:lang w:bidi="ar-SA"/>
        </w:rPr>
        <w:t xml:space="preserve">و النجاشيّ </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الشيخ، فلا يجوز رفع اليد عن مثل هذا الظهور؛ باحتمال أن تكون المُرسلة عين الصحيحتين نقلت بالمعنى أو عين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و على فرض صحّة الاحتمال يكون فهم الصدوق مؤيّداً لما ادّعيناه، و نعم 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أيضاً ذيل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بعد بيان حكم الشكّ في الأذان و الإقامة و غيرهما على نحو سائر الروايات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تلتفت إلى الشكّ إلّا أن تستيقن، فإنَّك إذا استيقنت أنّك تركت الأذان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الفقرة تجعل صدرها كالنصّ في أنَّ المُراد من الشكّ في الأذان و غيره هو الشكّ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p>
    <w:p>
      <w:pPr>
        <w:pStyle w:val="BookText"/>
        <w:rPr/>
      </w:pPr>
      <w:r>
        <w:rPr>
          <w:rFonts w:ascii="IRNazanin" w:hAnsi="IRNazanin" w:eastAsia="IRNazanin"/>
          <w:color w:val="111111"/>
          <w:sz w:val="28"/>
          <w:sz w:val="28"/>
          <w:szCs w:val="28"/>
          <w:rtl w:val="true"/>
          <w:lang w:bidi="fa-IR"/>
        </w:rPr>
        <w:t>محمّد بن منصور</w:t>
      </w:r>
      <w:r>
        <w:rPr>
          <w:rStyle w:val="FootnoteAnchor"/>
          <w:rtl w:val="true"/>
        </w:rPr>
        <w:footnoteReference w:id="597"/>
      </w:r>
      <w:r>
        <w:rPr>
          <w:rFonts w:ascii="Amiri" w:hAnsi="Amiri" w:eastAsia="Amiri" w:cs="Amiri"/>
          <w:color w:val="111111"/>
          <w:sz w:val="28"/>
          <w:sz w:val="28"/>
          <w:szCs w:val="28"/>
          <w:rtl w:val="true"/>
          <w:lang w:bidi="ar-SA"/>
        </w:rPr>
        <w:t>المنقولة في أبواب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الذي ينسى السجدة الثانية من الركعة الثانية أو شكّ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خفت أن لا تكون وضعت وجهك إلّا مرّة واحدة، فإذا سلّمت سجدت سجدة واحدة، و تضع وجهك مرّة واحدة، و ليس عليك سهو</w:t>
      </w:r>
      <w:r>
        <w:rPr>
          <w:rFonts w:eastAsia="Amiri" w:cs="Amiri" w:ascii="Amiri" w:hAnsi="Amiri"/>
          <w:color w:val="111111"/>
          <w:sz w:val="28"/>
          <w:szCs w:val="28"/>
          <w:rtl w:val="true"/>
          <w:lang w:bidi="ar-SA"/>
        </w:rPr>
        <w:t>)</w:t>
      </w:r>
    </w:p>
    <w:p>
      <w:pPr>
        <w:pStyle w:val="BookText"/>
        <w:rPr/>
      </w:pP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فهم المسئول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أصل السجدة، فأجاب بما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الشكوك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عن رجل شكّ في الركعة الاولى؟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ليستأنف</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عليه السلام فهم من قوله الشكّ في وجود الركعة، إلى غير ذلك من الروايات التي يطّلع عليها المُتتبّع، فإنَّ مجموع ذلك ممّا يشرف بالفقيه على القطع بأنَّ المُراد من الشكّ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الدخول في الإقامة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في الوجود، فيكون المُراد من الخروج من الشي‌ء الخروج من محلّه المُقرّر له، و سيأتي في الأمر التالي ما يشهد لما ذكرنا</w:t>
      </w:r>
      <w:r>
        <w:rPr>
          <w:rFonts w:eastAsia="Amiri" w:cs="Amiri" w:ascii="Amiri" w:hAnsi="Amiri"/>
          <w:color w:val="111111"/>
          <w:sz w:val="28"/>
          <w:szCs w:val="28"/>
          <w:rtl w:val="true"/>
          <w:lang w:bidi="ar-SA"/>
        </w:rPr>
        <w:t>.</w:t>
      </w:r>
      <w:bookmarkStart w:id="456" w:name="pg2245_13062"/>
    </w:p>
    <w:p>
      <w:pPr>
        <w:pStyle w:val="Heading4"/>
        <w:numPr>
          <w:ilvl w:val="3"/>
          <w:numId w:val="1"/>
        </w:numPr>
        <w:rPr/>
      </w:pPr>
      <w:bookmarkStart w:id="457" w:name="__RefHeading___Toc1614213_3804643083"/>
      <w:bookmarkStart w:id="458" w:name="_Toc167"/>
      <w:bookmarkEnd w:id="456"/>
      <w:bookmarkEnd w:id="457"/>
      <w:r>
        <w:rPr>
          <w:rtl w:val="true"/>
        </w:rPr>
        <w:t>الأمر الثالث أنَّ المُستفاد من الروايات قاعدة واحدة و هي التجاوز</w:t>
      </w:r>
      <w:bookmarkEnd w:id="458"/>
    </w:p>
    <w:p>
      <w:pPr>
        <w:pStyle w:val="BookText"/>
        <w:rPr/>
      </w:pPr>
      <w:r>
        <w:rPr>
          <w:rFonts w:ascii="Amiri" w:hAnsi="Amiri" w:eastAsia="Amiri" w:cs="Amiri"/>
          <w:color w:val="111111"/>
          <w:sz w:val="28"/>
          <w:sz w:val="28"/>
          <w:szCs w:val="28"/>
          <w:rtl w:val="true"/>
          <w:lang w:bidi="ar-SA"/>
        </w:rPr>
        <w:t>هل المُستفاد من أدلّة الباب أنَّ الشارع أسّس قاعدتين مُستقلّتين، كلّ واحدة منهما بملاك خاصّ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الشكّ بعد تجاوز المحلّ؛ أي الشكّ في وجود الشي‌ء بعد التجاوز عن محلّه المُقرّر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أصالة الصحّة بعد الفراغ من العمل </w:t>
      </w:r>
      <w:r>
        <w:rPr>
          <w:rStyle w:val="FootnoteAnchor"/>
          <w:rtl w:val="true"/>
        </w:rPr>
        <w:footnoteReference w:id="600"/>
      </w:r>
      <w:r>
        <w:rPr>
          <w:rFonts w:ascii="Amiri" w:hAnsi="Amiri" w:eastAsia="Amiri" w:cs="Amiri"/>
          <w:color w:val="111111"/>
          <w:sz w:val="28"/>
          <w:sz w:val="28"/>
          <w:szCs w:val="28"/>
          <w:rtl w:val="true"/>
          <w:lang w:bidi="ar-SA"/>
        </w:rPr>
        <w:t>، أم لا يستفاد منها إلّا قاعدة واحدة</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يراد من القاعدة الثانية أنَّ المجعول هو صحّة العمل بعد الفراغ منه، أو وجوب البناء على الصحّة بعده، إذا شكّ في صحّته و فساده من جهة الشكّ في الإخلال بشي‌ء مُعتبر فيه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و الفساد أمران مُنتزعان من عمل المُكلّف إذا طابق المأمور به، و ليستا من الأحكام الوضعيّة الجعليّة التي يمكن أن تنالهما يد الجعل، فلا يمكن أن يجعل الشارع الصحّة للعمل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يرفع اليد عن الجزء أو الشرط المشكوك فيهما، أو يجعل أمارة على تحقّقهما، أو أصلًا على وجوب البناء على وجودهما لدى الشكّ، و مع إعمال التعبّد بأحد الوجوه تنتزع الصحّة من فعل المُكلّف المنطبق عليه العناوين عقلًا، و لا يعقل عدم</w:t>
      </w:r>
    </w:p>
    <w:p>
      <w:pPr>
        <w:pStyle w:val="BookText"/>
        <w:rPr/>
      </w:pPr>
      <w:r>
        <w:rPr>
          <w:rFonts w:ascii="Amiri" w:hAnsi="Amiri" w:eastAsia="Amiri" w:cs="Amiri"/>
          <w:color w:val="111111"/>
          <w:sz w:val="28"/>
          <w:sz w:val="28"/>
          <w:szCs w:val="28"/>
          <w:rtl w:val="true"/>
          <w:lang w:bidi="ar-SA"/>
        </w:rPr>
        <w:t>الانتزاع منه، و مع عدم التصرّف كذلك لا يعقل انتزاعها منه، فجعل الصحّة ممّا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البناء على الصحّة ابتداءً أيضاً ممّا لا يعقل إلّا بنحوٍ من أنحاء التصرّف في منشأ الانتزاع، بل و لا يعقل أن تكون أصالة الصحّة أمارة عقلائيّة أيضاً؛ لأنَّ الأمارة على أمر انتزاعيّ لا تعقل إلّا بقيام الأمارة على منشئه، و مع قيام الأمارة عليه لا يحتاج إلى قيام أمارة على المُنتزع، بل لا يعقل، فأصالة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جعل الصحّة للشي‌ء المشكوك فيه، أو البناء على الصحّة ابتداءً، أو إقامة الأمارة عليها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أصالة الصحّة دائماً محكومة بقاعدة التجاوز عن المحلّ؛ لأنَّ الشكّ في الصحّة دائماً مُسبّب عن الشكّ في الإخلال بشي‌ءٍ ممّا يعتبر في المأمور به، و بعد الفراغ من العمل كما يكون مورداً لقاعدة الفراغ، يكون مورداً لقاعدة التجاوز أيضاً، و القاعدة الثانية ترفع الشكّ في الصحّة، و ترفع موضوع القاعدة الاولى، فلا يبقى مجال لجريانها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جرت قاعدة التجاوز يحكم العقل بصحّة العمل، و تنتزع منه الصحّة؛ لكونها من اللّوازم الأعمّ من الحكم الظاهريّ، فتغني عن قاعدة أصالة الصحّة، و إجراء أصالة الصحّة لا يغني عن الثانية إلّا بالأصل المُثبت، و لو منعت الحكومة لما ذكرنا في الأصل السببيّ و المُسبّبي من ميزان الحكومة</w:t>
      </w:r>
      <w:r>
        <w:rPr>
          <w:rStyle w:val="FootnoteAnchor"/>
          <w:rtl w:val="true"/>
        </w:rPr>
        <w:footnoteReference w:id="603"/>
      </w:r>
      <w:r>
        <w:rPr>
          <w:rFonts w:ascii="Amiri" w:hAnsi="Amiri" w:eastAsia="Amiri" w:cs="Amiri"/>
          <w:color w:val="111111"/>
          <w:sz w:val="28"/>
          <w:sz w:val="28"/>
          <w:szCs w:val="28"/>
          <w:rtl w:val="true"/>
          <w:lang w:bidi="ar-SA"/>
        </w:rPr>
        <w:t>، فلا أقلّ من أنَّ جعل القاعدة الاولى؛ أي قاعدة الفراغ يكون لغواً مع جعل قاعدة التجاوز، لأنَّ قاعدة الفراغ أخصّ منها مُطلقاً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القاعدتين عموم من وجه مورداً؛ لتصادقهما بعد الفراغ من عمل</w:t>
      </w:r>
    </w:p>
    <w:p>
      <w:pPr>
        <w:pStyle w:val="BookText"/>
        <w:rPr/>
      </w:pPr>
      <w:r>
        <w:rPr>
          <w:rFonts w:ascii="Amiri" w:hAnsi="Amiri" w:eastAsia="Amiri" w:cs="Amiri"/>
          <w:color w:val="111111"/>
          <w:sz w:val="28"/>
          <w:sz w:val="28"/>
          <w:szCs w:val="28"/>
          <w:rtl w:val="true"/>
          <w:lang w:bidi="ar-SA"/>
        </w:rPr>
        <w:t xml:space="preserve">مركّب شكّ في وجود بعض أجزائه، ممّا تجاوز محلّه، كما عدا الجزء الأخير، و تفترق قاعدة التجاوز عن الفراغ فيما إذا شكّ في وجود جزء بعد تجاوز محلّه قبل الفراغ من العمل، و تفترق هي عنها فيما لو شكّ بعد الفراغ عن العمل في كون المأتيّ به واجداً للوصف المُعتبر في صحّته، أو شكّ في الجزء الأخير الغير المُقوّم للصدق العرفيّ، حتّى يكون منافياً لتحقّق الفراغ من العمل؛ فإنَّه ربما تجري بالنسبة إليه أصالة الصحّة دون الشكّ بعد تجاوز المحلّ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قاعدة التجاوز أعمّ مُطلقاً، و ما ذكر من موردي الافتراق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الشكّ في كون المأتيّ به واجداً للوصف أو الشرط، فلا وجه لإخراجه عن قاعدة التجاوز؛ لأنَّ الوصف أو الشرط شي‌ء شكّ في وجوده بعد تجاوز محلّه، فيشمله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شكّ فيه ممّا قد جاوزه و دخل في غيره فليمض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605"/>
      </w:r>
      <w:r>
        <w:rPr>
          <w:rFonts w:ascii="Amiri" w:hAnsi="Amiri" w:eastAsia="Amiri" w:cs="Amiri"/>
          <w:color w:val="111111"/>
          <w:sz w:val="28"/>
          <w:sz w:val="28"/>
          <w:szCs w:val="28"/>
          <w:rtl w:val="true"/>
          <w:lang w:bidi="ar-SA"/>
        </w:rPr>
        <w:t>فإذا شكّ في تحقّق الجهر بعد الدخول في الركوع يكون مُنطبقاً للقاعدة المجعولة، فلا وجه لقصرها على الشكّ في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الشكّ في الجزء الأخير الغير المُقوّم للصدق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منه صدق الفراغ عرفاً فممنوع؛ لأنَّ السلام مثلًا إذا جعل آخر الصلاة فلا يحكم العرف بأنَّ المُصلّي فارغ عن الصلاة قبل السلام، و مع الشكّ فيه يكون الفراغ مشكوكاً فيه، فلا تنطبق عليه قاعدة الفراغ</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المُراد منه صدق الصلاة على الناقص بجزء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نسي السلام و دخل في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مُسلّم، لكن لا يلزم منه صدق الفراغ من صلاته قبل السلام؛ فإنَّ المُصلّي قبل السلام داخل فيها غير خارج عنها، لكن لو تركها و ذهب في شغله يصدق على ما فعل أنَّه صلاة ناقصة بجزء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الجزء الأخير من المُركّب مع بقاء محلّه لا يكون مورداً لقاعدة الفراغ؛ للشكّ في حصول الفراغ، و لا لقاعدة التجاوز؛ لبقاء محلّه، و مع مضيّ محلّه يكون مورداً لقاعدة التجاوز، كما يكون مورداً لقاعدة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الدخول في الغير مُعتبر في قاعدة التجاوز لا الفراغ، فتفترق قاعدة التجاوز عن الفراغ فيما إذا فرغ من العمل، و شكّ في وصف جزئه الأخير أو شرطه، أو شكّ في شرط المُركّب قبل الدخول في غيره، فتشمله قاعدة الفراغ لا التجاوز</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الدخول في الغير في قاعدة التجاوز دون الفراغ ممّا لا وجه له؛ فإنَّ وجه اعتباره في قاعدة التجاوز إنّما هو ظهور قوله في مثل صحيحتي زُرارة و إسماعيل بن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دخلت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و هذا التعبير بعينه، بل أصرح و آكد منه موجود في صحيحة زُرارة عن أبي جعفر عليه السلام التي تكون مستند قاعدة الفراغ، و كذا في موثّقة ابن أبي يعفور المنقولتين في أبواب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اولاهما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قمت من الوضوء، و فرغت منه و قد صرت في حال اخرى في الصلاة أو غيرها، فشككت في بعض ما سمّى اللَّه ممّا أوجب اللَّه عليك وضوءه لا شي‌ء عليك فيه</w:t>
      </w:r>
      <w:r>
        <w:rPr>
          <w:rFonts w:eastAsia="Amiri" w:cs="Amiri" w:ascii="Amiri" w:hAnsi="Amiri"/>
          <w:color w:val="111111"/>
          <w:sz w:val="28"/>
          <w:szCs w:val="28"/>
          <w:rtl w:val="true"/>
          <w:lang w:bidi="ar-SA"/>
        </w:rPr>
        <w:t>)</w:t>
      </w:r>
    </w:p>
    <w:p>
      <w:pPr>
        <w:pStyle w:val="BookText"/>
        <w:rPr/>
      </w:pP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ثانيتهما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شي‌ءٍ من الوضوء و قد دخلت في غيره فليس شكّك بشي‌ءٍ، إنّما الشكّ إذا كنت في شي‌ءٍ لم تجزه</w:t>
      </w:r>
      <w:r>
        <w:rPr>
          <w:rFonts w:eastAsia="Amiri" w:cs="Amiri" w:ascii="Amiri" w:hAnsi="Amiri"/>
          <w:color w:val="111111"/>
          <w:sz w:val="28"/>
          <w:szCs w:val="28"/>
          <w:rtl w:val="true"/>
          <w:lang w:bidi="ar-SA"/>
        </w:rPr>
        <w:t>)</w:t>
      </w:r>
    </w:p>
    <w:p>
      <w:pPr>
        <w:pStyle w:val="BookText"/>
        <w:rPr/>
      </w:pP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رجوع ضمير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الوضوء، و لا وجه لفهم القيديّة في إحدى الطائفتين دون الاخرى </w:t>
      </w:r>
      <w:r>
        <w:rPr>
          <w:rStyle w:val="FootnoteAnchor"/>
          <w:rtl w:val="true"/>
        </w:rPr>
        <w:footnoteReference w:id="609"/>
      </w:r>
      <w:r>
        <w:rPr>
          <w:rFonts w:ascii="Amiri" w:hAnsi="Amiri" w:eastAsia="Amiri" w:cs="Amiri"/>
          <w:color w:val="111111"/>
          <w:sz w:val="28"/>
          <w:sz w:val="28"/>
          <w:szCs w:val="28"/>
          <w:rtl w:val="true"/>
          <w:lang w:bidi="ar-SA"/>
        </w:rPr>
        <w:t xml:space="preserve">، و سيأتي التعرّض لذلك إن شاء اللَّه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الفراغ عامّة سيّالة في جميع أبواب الفقه، دون قاعدة التجاوز، فإنَّها مُختصّة بباب الصلاة</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قاعدة التجاوز بباب الصلاة ممنوع؛ لعموم الدليل و عدم المُخصّص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عمومه فلما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عدم المُخصّص اللّفظي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المُخصّص اللّبي من إجماع أو شُهرة؛ فلعدم ثبوتهما، فما ادّعاه بعض المُحقّقين من اختصاصها بباب الصلاة لم يظهر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احتمل اختصاص مورد هذه الأخبار في الصلاة؛ لاقتضاء سياقها ذلك، و هو ضعيف جدّاً، بل هي قاعدة مُحكّمة في الصلاة و غيرها من الحجّ و العمرة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مخصوصة بالوضوء خاصّة؛ لما سمعته من أدلّتها فمن هنا وجب الاقتصار عليه، و لا يتعدّى منه في هذا الحكم للغسل مثلًا، بل هو باقٍ على القاعدة من عدم الالتفات إلى الشكّ في شي‌ءٍ من أجزائه مع الدخول في غيره من الأجزاء، نعم لا يبعد إلحاق التيمّم به </w:t>
      </w:r>
      <w:r>
        <w:rPr>
          <w:rStyle w:val="FootnoteAnchor"/>
          <w:rtl w:val="true"/>
        </w:rPr>
        <w:footnoteReference w:id="6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جيّد إلّا ما ذكره أخيراً من نفي البعد عن إلحاق التيمّم بالوضوء؛ فإنَّ مُجرّد بدليّته من الوضوء لا يقتضي إلحاقه به في هذا الحكم، فإنَّ رفع اليد عن العموم يحتاج إلى مُخصّص مفقود في المقام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إن اريد من القاعدة أصالة الصحّة، و أمّا إن اريد منها عدم الاعتناء</w:t>
      </w:r>
    </w:p>
    <w:p>
      <w:pPr>
        <w:pStyle w:val="BookText"/>
        <w:rPr/>
      </w:pPr>
      <w:r>
        <w:rPr>
          <w:rFonts w:ascii="Amiri" w:hAnsi="Amiri" w:eastAsia="Amiri" w:cs="Amiri"/>
          <w:color w:val="111111"/>
          <w:sz w:val="28"/>
          <w:sz w:val="28"/>
          <w:szCs w:val="28"/>
          <w:rtl w:val="true"/>
          <w:lang w:bidi="ar-SA"/>
        </w:rPr>
        <w:t>بالشكّ في الجزء أو الشرط بعد الفراغ من العمل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قاعدة الفراغ و التجاوز أنَّ مفاد قاعدة التجاوز عدم الاعتناء بالشكّ في الجزء أو الشرط بعد التجاوز عن محلّه، و مفاد قاعدة الفراغ عدم الاعتناء بالشكّ فيهما بعد الفراغ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يرد عليه الإشكالان المُتقدّمان </w:t>
      </w:r>
      <w:r>
        <w:rPr>
          <w:rStyle w:val="FootnoteAnchor"/>
          <w:rtl w:val="true"/>
        </w:rPr>
        <w:footnoteReference w:id="613"/>
      </w:r>
      <w:r>
        <w:rPr>
          <w:rFonts w:ascii="Amiri" w:hAnsi="Amiri" w:eastAsia="Amiri" w:cs="Amiri"/>
          <w:color w:val="111111"/>
          <w:sz w:val="28"/>
          <w:sz w:val="28"/>
          <w:szCs w:val="28"/>
          <w:rtl w:val="true"/>
          <w:lang w:bidi="ar-SA"/>
        </w:rPr>
        <w:t xml:space="preserve">من عدم إمكان تطرّق الجعل و حكومة قاعدة التجاوز على الفراغ، لكن مع عموم قاعدة التجاوز لجميع الأبواب، و كونها أعمّ مُطلقاً بالنسبة إلى قاعدة الفراغ يكون جعل الثانية لغواً لما عرفت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قاعدة التجاوز مخصوصة بباب الصلاة يقع الكلام في أنَّ المجعول قاعدتان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الفراغ بالمعنى المُتقدّم آنفاً، و هي سيّالة في جميع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التجاوز، و هي مخصوصة بباب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المجعول قاعدة واحدة هي قاعدة التجاوز، لكن قام الدليل اللّفظي في باب الوضوء، و غير اللّفظي في سائر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تقييد التجاوز بكونه عن تمام العمل المُركّب؛ بدعوى أنَّ هذا التقييد ليس مُستهجناً كالتخصيص الأكثريّ، و البحث عن ذلك بعد بطلان أصل المبنى، و مع فرض عدم بطلانه و عدم ترتّب ثمرة مهمّة عليه ممّا لا جدوى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التحقيق هو استفادة قاعدة واحدة هي قاعدة التجاوز بعد المحلّ، و هي سيّالة في جميع الأبواب، و لا وجه لتخصيصها بباب الصلاة؛ بعد عموم الأدلّة، و عدم المُقيّد و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 و فصّلناه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مثل قوله في موثّقة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معناه كلّ ما شككت في صحّته بعد الفراغ منه؛</w:t>
      </w:r>
    </w:p>
    <w:p>
      <w:pPr>
        <w:pStyle w:val="BookText"/>
        <w:rPr/>
      </w:pPr>
      <w:r>
        <w:rPr>
          <w:rFonts w:ascii="IRNazanin" w:hAnsi="IRNazanin" w:eastAsia="IRNazanin"/>
          <w:color w:val="111111"/>
          <w:sz w:val="28"/>
          <w:sz w:val="28"/>
          <w:szCs w:val="28"/>
          <w:rtl w:val="true"/>
          <w:lang w:bidi="fa-IR"/>
        </w:rPr>
        <w:t xml:space="preserve">لما عرفت </w:t>
      </w:r>
      <w:r>
        <w:rPr>
          <w:rStyle w:val="FootnoteAnchor"/>
          <w:rtl w:val="true"/>
        </w:rPr>
        <w:footnoteReference w:id="615"/>
      </w:r>
      <w:r>
        <w:rPr>
          <w:rFonts w:ascii="Amiri" w:hAnsi="Amiri" w:eastAsia="Amiri" w:cs="Amiri"/>
          <w:color w:val="111111"/>
          <w:sz w:val="28"/>
          <w:sz w:val="28"/>
          <w:szCs w:val="28"/>
          <w:rtl w:val="true"/>
          <w:lang w:bidi="ar-SA"/>
        </w:rPr>
        <w:t>من فساد ذلك، بل معناه أنَّه كلّ ما شككت في وجوده جزءاً كان أو شرطاً، أو نفس العمل ممّا قد مضى محلّه المُقرّر الشرعيّ، فأمضه كما هو، فيكون مفاده إعطاء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قول أبي جعفر عليه السلام في صحيحة محمّد بن مسلم المنقولة في أبواب الخلل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بعد ما تفرغ من صلاتك فامض و لا تعد</w:t>
      </w:r>
      <w:r>
        <w:rPr>
          <w:rFonts w:eastAsia="Amiri" w:cs="Amiri" w:ascii="Amiri" w:hAnsi="Amiri"/>
          <w:color w:val="111111"/>
          <w:sz w:val="28"/>
          <w:szCs w:val="28"/>
          <w:rtl w:val="true"/>
          <w:lang w:bidi="ar-SA"/>
        </w:rPr>
        <w:t>)</w:t>
      </w:r>
    </w:p>
    <w:p>
      <w:pPr>
        <w:pStyle w:val="BookText"/>
        <w:rPr/>
      </w:pPr>
      <w:r>
        <w:rPr>
          <w:rStyle w:val="FootnoteAnchor"/>
          <w:rtl w:val="true"/>
        </w:rPr>
        <w:footnoteReference w:id="616"/>
      </w:r>
      <w:r>
        <w:rPr>
          <w:rFonts w:ascii="Amiri" w:hAnsi="Amiri" w:eastAsia="Amiri" w:cs="Amiri"/>
          <w:color w:val="111111"/>
          <w:sz w:val="28"/>
          <w:sz w:val="28"/>
          <w:szCs w:val="28"/>
          <w:rtl w:val="true"/>
          <w:lang w:bidi="ar-SA"/>
        </w:rPr>
        <w:t>هو بيان مورد من موارد قاعدة التجاوز، فيكون ملاك الحكم هو التجاوز عن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الفراغ من العمل، و لا محيص عن حملها على ذلك؛ ضرورة أنَّه مع جريان قاعدة التجاوز في باب الصلاة من 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النصوص الكثيرة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لجعل قاعدة الفراغ فيه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احتمال آخر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أنَّه بصدد بيان مورد من موارد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الشكّ الحادث بعد مُضيّ العمل المُتعلّق بكلّ ما اعتبر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به، لا لدخالة الفراغ في ذلك؛ بل بملاك التجاوز عن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فالشكّ الحادث بعد العمل كالحادث بينه بعد مُضيّ المحلّ لا اعتبار به، لا بملاكين، بل بملاكٍ واحدٍ هو التجاوز عن المحلّ، فحينئذٍ تكون جميع روايات الباب المُتقاربة المضمون و التعبير لإعطاء قاعدة كلّية هي عدم الاعتناء بالشكّ بعد تجاوز المحلّ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يدّعى أنَّ الوضوء باقٍ تحت قاعدة الشكّ بعد التجاوز؛ لكنّ الشارع تصرّف في التجاوز فيه، و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باب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بالتجاوز عن تمام</w:t>
      </w:r>
    </w:p>
    <w:p>
      <w:pPr>
        <w:pStyle w:val="BookText"/>
        <w:rPr/>
      </w:pPr>
      <w:r>
        <w:rPr>
          <w:rFonts w:ascii="Amiri" w:hAnsi="Amiri" w:eastAsia="Amiri" w:cs="Amiri"/>
          <w:color w:val="111111"/>
          <w:sz w:val="28"/>
          <w:sz w:val="28"/>
          <w:szCs w:val="28"/>
          <w:rtl w:val="true"/>
          <w:lang w:bidi="ar-SA"/>
        </w:rPr>
        <w:t xml:space="preserve">العمل، و هذا من قبيل تقييد المورد، لا تخصيصه </w:t>
      </w:r>
      <w:r>
        <w:rPr>
          <w:rStyle w:val="FootnoteAnchor"/>
          <w:rtl w:val="true"/>
        </w:rPr>
        <w:footnoteReference w:id="617"/>
      </w:r>
      <w:r>
        <w:rPr>
          <w:rFonts w:ascii="Amiri" w:hAnsi="Amiri" w:eastAsia="Amiri" w:cs="Amiri"/>
          <w:color w:val="111111"/>
          <w:sz w:val="28"/>
          <w:sz w:val="28"/>
          <w:szCs w:val="28"/>
          <w:rtl w:val="true"/>
          <w:lang w:bidi="ar-SA"/>
        </w:rPr>
        <w:t xml:space="preserve">حتّى يستشكل فيه بالاستهجان </w:t>
      </w:r>
      <w:r>
        <w:rPr>
          <w:rStyle w:val="FootnoteAnchor"/>
          <w:rtl w:val="true"/>
        </w:rPr>
        <w:footnoteReference w:id="618"/>
      </w:r>
      <w:r>
        <w:rPr>
          <w:rFonts w:ascii="Amiri" w:hAnsi="Amiri" w:eastAsia="Amiri" w:cs="Amiri"/>
          <w:color w:val="111111"/>
          <w:sz w:val="28"/>
          <w:sz w:val="28"/>
          <w:szCs w:val="28"/>
          <w:rtl w:val="true"/>
          <w:lang w:bidi="ar-SA"/>
        </w:rPr>
        <w:t>، نظير آية النبأ</w:t>
      </w:r>
      <w:r>
        <w:rPr>
          <w:rStyle w:val="FootnoteAnchor"/>
          <w:rtl w:val="true"/>
        </w:rPr>
        <w:footnoteReference w:id="619"/>
      </w:r>
      <w:r>
        <w:rPr>
          <w:rFonts w:ascii="Amiri" w:hAnsi="Amiri" w:eastAsia="Amiri" w:cs="Amiri"/>
          <w:color w:val="111111"/>
          <w:sz w:val="28"/>
          <w:sz w:val="28"/>
          <w:szCs w:val="28"/>
          <w:rtl w:val="true"/>
          <w:lang w:bidi="ar-SA"/>
        </w:rPr>
        <w:t>إشكالًا و جواباً في هذه الحيثيّة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المقام خالٍ عن الإشكال و لو قلنا باستهجان تقييد المورد؛ فإنَّه من قبيل تقييد إطلاق المورد بإخراج بعض الفروض النادرة نسبة، فإنَّ عروض الشكّ بين الوضوء نادر، خصوصاً بالنسبة إلى أصل الغسل و المسح، لا الشرائط و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الدليل المُخصّص أو المُقيّد لقاعدة التجاوز بالنسبة إلى الوضوء و هو صحيحة زُرارة الآتية</w:t>
      </w:r>
      <w:r>
        <w:rPr>
          <w:rStyle w:val="FootnoteAnchor"/>
          <w:rtl w:val="true"/>
        </w:rPr>
        <w:footnoteReference w:id="621"/>
      </w:r>
      <w:r>
        <w:rPr>
          <w:rFonts w:ascii="Amiri" w:hAnsi="Amiri" w:eastAsia="Amiri" w:cs="Amiri"/>
          <w:color w:val="111111"/>
          <w:sz w:val="28"/>
          <w:sz w:val="28"/>
          <w:szCs w:val="28"/>
          <w:rtl w:val="true"/>
          <w:lang w:bidi="ar-SA"/>
        </w:rPr>
        <w:t>هو اختصاص الخارج بالشكّ فيما سمّى اللَّه تعالى و أوجبه على العباد في ظاهر الكتاب، لا غيره ممّا فهم اعتباره بالسنّة، و هذا بوجه نظير الشكّ في الركعتين الأولتين من الصلاة، حيث لا يدخل فيهما الشكّ؛ لكونهما فرض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التقييد فيما عدا ما سمّى اللَّه من الغسل و المسح، أو مع بعض الخصوصيّات المُستفادة من ظاهر الكتاب، فلو شكّ في إطلاق الماء و إضافته، أو الغسل منكوساً و أمثال ذلك يكون مشمولًا للقاعدة، بين الوضوء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النحو من التقييد لا استهجان فيه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تبقى موثّقة ابن أبي يعفور المُتقدّمة</w:t>
      </w:r>
      <w:r>
        <w:rPr>
          <w:rStyle w:val="FootnoteAnchor"/>
          <w:rtl w:val="true"/>
        </w:rPr>
        <w:footnoteReference w:id="622"/>
      </w:r>
      <w:r>
        <w:rPr>
          <w:rFonts w:ascii="Amiri" w:hAnsi="Amiri" w:eastAsia="Amiri" w:cs="Amiri"/>
          <w:color w:val="111111"/>
          <w:sz w:val="28"/>
          <w:sz w:val="28"/>
          <w:szCs w:val="28"/>
          <w:rtl w:val="true"/>
          <w:lang w:bidi="ar-SA"/>
        </w:rPr>
        <w:t>على ظاهرها؛ من رجوع ضمير غيره إلى الجزء المشكوك فيه، لا إلى الوضوء</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أفاده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الوضوء اعتبر أمراً بسيطاً للتخلّص عن الإشكال </w:t>
      </w:r>
      <w:r>
        <w:rPr>
          <w:rStyle w:val="FootnoteAnchor"/>
          <w:rtl w:val="true"/>
        </w:rPr>
        <w:footnoteReference w:id="623"/>
      </w:r>
      <w:r>
        <w:rPr>
          <w:rFonts w:ascii="Amiri" w:hAnsi="Amiri" w:eastAsia="Amiri" w:cs="Amiri"/>
          <w:color w:val="111111"/>
          <w:sz w:val="28"/>
          <w:sz w:val="28"/>
          <w:szCs w:val="28"/>
          <w:rtl w:val="true"/>
          <w:lang w:bidi="ar-SA"/>
        </w:rPr>
        <w:t>ففيه ما لا يخفى؛ فإنَّ صحيحة زُرارة الواردة في باب الوضوء</w:t>
      </w:r>
    </w:p>
    <w:p>
      <w:pPr>
        <w:pStyle w:val="BookText"/>
        <w:rPr/>
      </w:pPr>
      <w:r>
        <w:rPr>
          <w:rFonts w:ascii="Amiri" w:hAnsi="Amiri" w:eastAsia="Amiri" w:cs="Amiri"/>
          <w:color w:val="111111"/>
          <w:sz w:val="28"/>
          <w:sz w:val="28"/>
          <w:szCs w:val="28"/>
          <w:rtl w:val="true"/>
          <w:lang w:bidi="ar-SA"/>
        </w:rPr>
        <w:t>آبية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هي الصحيحة المنقولة في أبواب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عن المُفيد، عن أحمد بن محمّد</w:t>
      </w:r>
      <w:r>
        <w:rPr>
          <w:rStyle w:val="FootnoteAnchor"/>
          <w:rtl w:val="true"/>
        </w:rPr>
        <w:footnoteReference w:id="624"/>
      </w:r>
      <w:r>
        <w:rPr>
          <w:rFonts w:ascii="Amiri" w:hAnsi="Amiri" w:eastAsia="Amiri" w:cs="Amiri"/>
          <w:color w:val="111111"/>
          <w:sz w:val="28"/>
          <w:sz w:val="28"/>
          <w:szCs w:val="28"/>
          <w:rtl w:val="true"/>
          <w:lang w:bidi="ar-SA"/>
        </w:rPr>
        <w:t xml:space="preserve">عن أبيه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أحمد بن إدريس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سعد بن عبد اللَّه، عن أحمد بن محمّد، عن الحسين بن سعيد، عن حمّاد، عن حَريز،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قاعداً على وضوئك، فلم تدرِ أ غسلت ذراعيك أم لا، فأعد عليهما و على جميع ما شككت فيه أنّك لم تغسله أو تمسحه ممّا سمّى اللَّه، ما دمت في حال الوضوء، فإذا قمت من الوضوء، و فرغت منه، و قد صرت في حال اخرى في الصلاة أو غيرها فشككت في بعض ما سمّى اللَّه ممّا أوجب اللَّه عليك فيه وضوءه لا شي‌ء عليك، فإن شككت في مسح رأسك فأصبت في لحيتك بللًا فامسح بها عليه و على ظهر قدمك، فإن لم تصب بللًا فلا تنقض الوضوء بالشكّ و امض في صلاتك، و إن تيقّنت أنّك لم تتمّ وضوءك فأعد على ما تركت يقيناً حتّى تأتي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 و قال حَريز قال زُرارة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بعض ذراعه أو بعض جسده في غسل الجنابة؟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ثمّ كانت به بلّة و هو في صلاته مسح بها عليه، و إن كان استيقن رجع و أعاد عليه الماء ما لم يصب بلّة، فإن دخله الشكّ و قد دخل في حال</w:t>
      </w:r>
    </w:p>
    <w:p>
      <w:pPr>
        <w:pStyle w:val="BookText"/>
        <w:rPr/>
      </w:pPr>
      <w:r>
        <w:rPr>
          <w:rFonts w:ascii="IRNazanin" w:hAnsi="IRNazanin" w:eastAsia="IRNazanin"/>
          <w:color w:val="111111"/>
          <w:sz w:val="28"/>
          <w:sz w:val="28"/>
          <w:szCs w:val="28"/>
          <w:rtl w:val="true"/>
          <w:lang w:bidi="fa-IR"/>
        </w:rPr>
        <w:t xml:space="preserve">اخرى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ترتيب الوضوء و موالاته و النسيان فيه سطر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فليمض في صلاته و لا شي‌ء عليه، و إن استبان رجع و أعاد الماء عليه، و إن رآه و به بلّة مسح عليه و أعاد الصلاة باستيقان، و إن كان شاكّاً فليس عليه في شكّه شي‌ء، فليمض في صلاته</w:t>
      </w:r>
      <w:r>
        <w:rPr>
          <w:rFonts w:eastAsia="Amiri" w:cs="Amiri" w:ascii="Amiri" w:hAnsi="Amiri"/>
          <w:color w:val="111111"/>
          <w:sz w:val="28"/>
          <w:szCs w:val="28"/>
          <w:rtl w:val="true"/>
          <w:lang w:bidi="ar-SA"/>
        </w:rPr>
        <w:t>)</w:t>
      </w:r>
    </w:p>
    <w:p>
      <w:pPr>
        <w:pStyle w:val="BookText"/>
        <w:rPr/>
      </w:pP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وجوهاً من الدلالة على شدّة العناية بالأجزاء، 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التأكيد و المبالغة، و التعبير بما سمّى اللَّه، و أوجب اللَّه عليك فيه 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فرض أمراً بسيطاً، بل في موثّقة ابن أبي يعفور أيضاً دلالة على عنايته بالأجزاء، و كون الوضوء أمراً مُركّباً، بل الظاهر من آية الوضوء</w:t>
      </w:r>
      <w:r>
        <w:rPr>
          <w:rStyle w:val="FootnoteAnchor"/>
          <w:rtl w:val="true"/>
        </w:rPr>
        <w:footnoteReference w:id="628"/>
      </w:r>
      <w:r>
        <w:rPr>
          <w:rFonts w:ascii="Amiri" w:hAnsi="Amiri" w:eastAsia="Amiri" w:cs="Amiri"/>
          <w:color w:val="111111"/>
          <w:sz w:val="28"/>
          <w:sz w:val="28"/>
          <w:szCs w:val="28"/>
          <w:rtl w:val="true"/>
          <w:lang w:bidi="ar-SA"/>
        </w:rPr>
        <w:t>أيضاً هو العناية بأجزاء الوضوء، كما أشارت إليها صحيحة زُرارة، فلا يمكن الالتزام بما أفاده، و لا محيص عمّا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فيه؛ لأنَّ دلالة صدر موثّقة ابن أبي يعفور على عدم الاعتناء بالشكّ إذا حدث في الأثناء ليس إلّا بالإطلاق، كمفهوم ذيلها، بل تقييد التجاوز بما بعد الوضوء من أسهل التصرّفات؛ لأنَّ حدوث الشكّ في الأثناء نادر؛ لأنَّه يحدث نوعاً بعده، فإخراج الفرد النادر سهل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وقع الإشكال في إلحاق الغُسل و التيمّم بالوضوء و عدمه </w:t>
      </w:r>
      <w:r>
        <w:rPr>
          <w:rStyle w:val="FootnoteAnchor"/>
          <w:rtl w:val="true"/>
        </w:rPr>
        <w:footnoteReference w:id="629"/>
      </w:r>
      <w:r>
        <w:rPr>
          <w:rFonts w:ascii="Amiri" w:hAnsi="Amiri" w:eastAsia="Amiri" w:cs="Amiri"/>
          <w:color w:val="111111"/>
          <w:sz w:val="28"/>
          <w:sz w:val="28"/>
          <w:szCs w:val="28"/>
          <w:rtl w:val="true"/>
          <w:lang w:bidi="ar-SA"/>
        </w:rPr>
        <w:t>، و لا دليل على الإلحاق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إخراج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بمقالة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على القاعدة؛ لأنَّه اعتبر أمراً بسيطاً لوحدة مُسبّبه </w:t>
      </w:r>
      <w:r>
        <w:rPr>
          <w:rStyle w:val="FootnoteAnchor"/>
          <w:rtl w:val="true"/>
        </w:rPr>
        <w:footnoteReference w:id="630"/>
      </w:r>
      <w:r>
        <w:rPr>
          <w:rFonts w:ascii="Amiri" w:hAnsi="Amiri" w:eastAsia="Amiri" w:cs="Amiri"/>
          <w:color w:val="111111"/>
          <w:sz w:val="28"/>
          <w:sz w:val="28"/>
          <w:szCs w:val="28"/>
          <w:rtl w:val="true"/>
          <w:lang w:bidi="ar-SA"/>
        </w:rPr>
        <w:t>و أنَّ الغُسل و التيمّم أيضاً كذلك، مع</w:t>
      </w:r>
    </w:p>
    <w:p>
      <w:pPr>
        <w:pStyle w:val="BookText"/>
        <w:rPr/>
      </w:pPr>
      <w:r>
        <w:rPr>
          <w:rFonts w:ascii="Amiri" w:hAnsi="Amiri" w:eastAsia="Amiri" w:cs="Amiri"/>
          <w:color w:val="111111"/>
          <w:sz w:val="28"/>
          <w:sz w:val="28"/>
          <w:szCs w:val="28"/>
          <w:rtl w:val="true"/>
          <w:lang w:bidi="ar-SA"/>
        </w:rPr>
        <w:t>أنَّ بدليّة التيمّم عن الوضوء تقتضي ذلك، و هو كما ترى و قد عرفت أنَّ اعتبار البساطة خلاف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التجاوز قاصرة عن إثبات الحكم لغير الصلاة</w:t>
      </w:r>
      <w:r>
        <w:rPr>
          <w:rStyle w:val="FootnoteAnchor"/>
          <w:rtl w:val="true"/>
        </w:rPr>
        <w:footnoteReference w:id="631"/>
      </w:r>
      <w:r>
        <w:rPr>
          <w:rFonts w:ascii="IRNazanin" w:hAnsi="IRNazanin" w:eastAsia="IRNazanin"/>
          <w:color w:val="111111"/>
          <w:sz w:val="28"/>
          <w:sz w:val="28"/>
          <w:szCs w:val="28"/>
          <w:rtl w:val="true"/>
          <w:lang w:bidi="fa-IR"/>
        </w:rPr>
        <w:t xml:space="preserve">، و قد عرفت ضعفه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دلالة ذيل صحيحة زُرارة المُتقدّمة آنفاً بإطلاقه على عدم الاعتناء بالشكّ في غسل الجنابة و لو حدث في الأثناء؛ فإنَّ الظاهر من الفقرة الاولى أنَّ الشكّ إذا حدث في أثناء الصلاة و كانت به بلّة مسح بها عليه، و هذا حكم استحبابيّ، و من الفقرة الثانية و هي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دخله الشكّ و قد دخل في حال اخرى فليمض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الشكّ إذا حدث قبل الصلاة بعد انتقاله إلى حال اخرى فليمض في صلاته؛ أي المُصلّي إذا كان دخله الشكّ في غسل ذراعه أو بعض جسده في غسل الجنابة بعد الانتقال إلى حال اخرى فليمض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أنَّ المُشتغل بغسل الجانب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رأسه، أو ذراعه اليمنى، أو بعض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أنَّه دخله الشكّ و قد دخل في حال اخرى</w:t>
      </w:r>
    </w:p>
    <w:p>
      <w:pPr>
        <w:pStyle w:val="BookText"/>
        <w:rPr/>
      </w:pPr>
      <w:r>
        <w:rPr>
          <w:rFonts w:ascii="Amiri" w:hAnsi="Amiri" w:eastAsia="Amiri" w:cs="Amiri"/>
          <w:color w:val="111111"/>
          <w:sz w:val="28"/>
          <w:sz w:val="28"/>
          <w:szCs w:val="28"/>
          <w:rtl w:val="true"/>
          <w:lang w:bidi="ar-SA"/>
        </w:rPr>
        <w:t>و لا وجه لحمل الحال الاخرى على حال غير غسل الجنابة؛ فإنَّه تقييد بلا وجه، و قد عرفت أنَّ مُقتضى مُقابلة الفقرة الثانية للُاولى أنَّ المفروض فيها حدوث الشكّ قبل الصلاة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إلحاق الغُسل بل التيمّم بالوضوء ضعيف</w:t>
      </w:r>
      <w:r>
        <w:rPr>
          <w:rFonts w:eastAsia="Amiri" w:cs="Amiri" w:ascii="Amiri" w:hAnsi="Amiri"/>
          <w:color w:val="111111"/>
          <w:sz w:val="28"/>
          <w:szCs w:val="28"/>
          <w:rtl w:val="true"/>
          <w:lang w:bidi="ar-SA"/>
        </w:rPr>
        <w:t>.</w:t>
      </w:r>
      <w:bookmarkStart w:id="459" w:name="pg2245_13073"/>
    </w:p>
    <w:p>
      <w:pPr>
        <w:pStyle w:val="Heading4"/>
        <w:numPr>
          <w:ilvl w:val="3"/>
          <w:numId w:val="1"/>
        </w:numPr>
        <w:rPr/>
      </w:pPr>
      <w:bookmarkStart w:id="460" w:name="__RefHeading___Toc1614215_3804643083"/>
      <w:bookmarkStart w:id="461" w:name="_Toc168"/>
      <w:bookmarkEnd w:id="459"/>
      <w:bookmarkEnd w:id="460"/>
      <w:r>
        <w:rPr>
          <w:rtl w:val="true"/>
        </w:rPr>
        <w:t>الأمر الرابع أنَّ المُراد من المحلّ هو المحلّ الشرعيّ</w:t>
      </w:r>
      <w:bookmarkEnd w:id="461"/>
    </w:p>
    <w:p>
      <w:pPr>
        <w:pStyle w:val="BookText"/>
        <w:rPr/>
      </w:pPr>
      <w:r>
        <w:rPr>
          <w:rFonts w:ascii="Amiri" w:hAnsi="Amiri" w:eastAsia="Amiri" w:cs="Amiri"/>
          <w:color w:val="111111"/>
          <w:sz w:val="28"/>
          <w:sz w:val="28"/>
          <w:szCs w:val="28"/>
          <w:rtl w:val="true"/>
          <w:lang w:bidi="ar-SA"/>
        </w:rPr>
        <w:t>قد عرفت أنَّ الأخبار كلّها مُنزّلة على قاعدة التجاوز، فحينئذٍ يكون المُراد من المُضيّ هو مُضيّ محلّ المشكوك فيه، و إنّما نسب المُضيّ إلى الشي‌ء بنحوٍ من التوسعة و التنزيل، كما في مُطلق المجازات، لا بتقدير لفظ المحلّ، فإنَّ التحقيق أنَّ المجاز مُطلقاً حتّى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الْقَرْيَةَ</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من قبيل الحقيقة الادّعائيّة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من المضيّ مُضيّ محلّه، و الظاهر من المحلّ هو المحلّ المُقرّر الشرعيّ و لو انفاذاً، لا تقيّد المحلّ الشرعيّ </w:t>
      </w:r>
      <w:r>
        <w:rPr>
          <w:rStyle w:val="FootnoteAnchor"/>
          <w:rtl w:val="true"/>
        </w:rPr>
        <w:footnoteReference w:id="635"/>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تقييد بلا مُقيّد</w:t>
      </w:r>
      <w:r>
        <w:rPr>
          <w:rStyle w:val="FootnoteAnchor"/>
          <w:rtl w:val="true"/>
        </w:rPr>
        <w:footnoteReference w:id="636"/>
      </w:r>
      <w:r>
        <w:rPr>
          <w:rFonts w:ascii="Amiri" w:hAnsi="Amiri" w:eastAsia="Amiri" w:cs="Amiri"/>
          <w:color w:val="111111"/>
          <w:sz w:val="28"/>
          <w:sz w:val="28"/>
          <w:szCs w:val="28"/>
          <w:rtl w:val="true"/>
          <w:lang w:bidi="ar-SA"/>
        </w:rPr>
        <w:t>، بل لأنَّ الشارع المُقنِّن إذا قرَّر للأشياء محلّا، فجعل محلّ القراءة بعد التكبير، و محلّ الركوع بعد القراءة و هكذا، ثمّ جعل قانوناً آخر بأنَّ كلّ ما مضى محلّه فأمضه، لا يفهم العُرف و العُقلاء منه إلّا ما هو المحلّ المُقرّر الجعليّ، لا ما صار عادة للأشخاص أو النوع؛ فإنَّ العادة إنّما تحصل بالعمل، و هي لا توجب أن يصير المحلّ العاديّ محلّا للشي‌ء، بل المحلّ بقول مُطلق هو ما يكون محلّا مُقرّراً قانونيّاً، لا ما صار عادة حتّى يختلف باختلاف الأزمنة و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 الحكم إلى المحلّ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الإشكال، بل لا يمكن التزامه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اعتبار المحلّ العاديّ من صحيحة زُرارة المُتقدّمة الواردة في باب الوضوء و الغُسل؛ بدعوى أنَّ الموضوع لعدم الاعتناء بالشكّ ليس عنوان</w:t>
      </w:r>
    </w:p>
    <w:p>
      <w:pPr>
        <w:pStyle w:val="BookText"/>
        <w:rPr/>
      </w:pPr>
      <w:r>
        <w:rPr>
          <w:rFonts w:ascii="Amiri" w:hAnsi="Amiri" w:eastAsia="Amiri" w:cs="Amiri"/>
          <w:color w:val="111111"/>
          <w:sz w:val="28"/>
          <w:sz w:val="28"/>
          <w:szCs w:val="28"/>
          <w:rtl w:val="true"/>
          <w:lang w:bidi="ar-SA"/>
        </w:rPr>
        <w:t>القيام من الوضوء أو الفراغ منه، بل هو عدم الكون في حال الوضوء، لا بالمعنى العدميّ، بل بمعنى المُضيّ عنه، فإنَّ الظاهر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قمت من الوضوء و فرغت منه و قد صرت في حال اخرى</w:t>
      </w:r>
    </w:p>
    <w:p>
      <w:pPr>
        <w:pStyle w:val="BookText"/>
        <w:rPr/>
      </w:pPr>
      <w:r>
        <w:rPr>
          <w:rFonts w:ascii="Amiri" w:hAnsi="Amiri" w:eastAsia="Amiri" w:cs="Amiri"/>
          <w:color w:val="111111"/>
          <w:sz w:val="28"/>
          <w:sz w:val="28"/>
          <w:szCs w:val="28"/>
          <w:rtl w:val="true"/>
          <w:lang w:bidi="ar-SA"/>
        </w:rPr>
        <w:t>بيان مفهوم الصدر؛ أي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 في حال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الحال الاخرى كالصلاة و غيرها المُحقّقة لعنوان التجاوز أعمّ من الأمر المُرتّب شرعاً على الوضوء و غيره؛ لإطلاق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أوجب اللَّه عليك وضوءه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 من الغسل و المسح، كما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حسرة يوم القيامة من يرى وضوءه على جلد غيره</w:t>
      </w:r>
      <w:r>
        <w:rPr>
          <w:rFonts w:eastAsia="Amiri" w:cs="Amiri" w:ascii="Amiri" w:hAnsi="Amiri"/>
          <w:color w:val="111111"/>
          <w:sz w:val="28"/>
          <w:szCs w:val="28"/>
          <w:rtl w:val="true"/>
          <w:lang w:bidi="ar-SA"/>
        </w:rPr>
        <w:t>)</w:t>
      </w:r>
    </w:p>
    <w:p>
      <w:pPr>
        <w:pStyle w:val="BookText"/>
        <w:rPr/>
      </w:pPr>
      <w:r>
        <w:rPr>
          <w:rStyle w:val="FootnoteAnchor"/>
          <w:rtl w:val="true"/>
        </w:rPr>
        <w:footnoteReference w:id="637"/>
      </w:r>
      <w:r>
        <w:rPr>
          <w:rFonts w:ascii="Amiri" w:hAnsi="Amiri" w:eastAsia="Amiri" w:cs="Amiri"/>
          <w:color w:val="111111"/>
          <w:sz w:val="28"/>
          <w:sz w:val="28"/>
          <w:szCs w:val="28"/>
          <w:rtl w:val="true"/>
          <w:lang w:bidi="ar-SA"/>
        </w:rPr>
        <w:t>فإنَّه باعتبار المسح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بدعوى إلقاء الخصوصيّة، فإذا شكّ في مسح الرجل اليسرى و قد دخل في حال اخرى عاديّة كالتمندل أو غيره فلا يعتني بشكّه بحسب المفهوم منها، و لو مع عدم مضيّ زمان يخلّ بالموالاة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في ذيلها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دخله الشكّ و قد دخل في حال اخرى</w:t>
      </w:r>
    </w:p>
    <w:p>
      <w:pPr>
        <w:pStyle w:val="BookText"/>
        <w:rPr/>
      </w:pPr>
      <w:r>
        <w:rPr>
          <w:rFonts w:ascii="Amiri" w:hAnsi="Amiri" w:eastAsia="Amiri" w:cs="Amiri"/>
          <w:color w:val="111111"/>
          <w:sz w:val="28"/>
          <w:sz w:val="28"/>
          <w:szCs w:val="28"/>
          <w:rtl w:val="true"/>
          <w:lang w:bidi="ar-SA"/>
        </w:rPr>
        <w:t>يدلّ بإطلاقه على أنَّ من شكّ في غسل ذراعه أو بعض جسده من الطرف الأيسر و قد دخل في حال اخرى أيّة حال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يعتني بشكّه، مع أنَّ الموالاة غير مُعتبرة في الغسل، و لا في أجزاء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تقرير دعوى الأعمّية من المحلّ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لا يخلو عن الإشكال؛ لأنَّ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 في حال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كونه في حال الوضوء واقعاً لا اعتقاداً، كما هو قضيّة كلّ عنوان اخذ في موضوع حكم، و إذا لم يمسح الرجل اليسرى و بقيت الموالاة المُعتبرة تكون حال الوضوء باقية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مقابل هذا العنوان هو الانتقال إلى حال اخرى أي ما إذا لم تكن الموالاة المُعتبرة</w:t>
      </w:r>
    </w:p>
    <w:p>
      <w:pPr>
        <w:pStyle w:val="BookText"/>
        <w:rPr/>
      </w:pPr>
      <w:r>
        <w:rPr>
          <w:rFonts w:ascii="Amiri" w:hAnsi="Amiri" w:eastAsia="Amiri" w:cs="Amiri"/>
          <w:color w:val="111111"/>
          <w:sz w:val="28"/>
          <w:sz w:val="28"/>
          <w:szCs w:val="28"/>
          <w:rtl w:val="true"/>
          <w:lang w:bidi="ar-SA"/>
        </w:rPr>
        <w:t>باقية، فإذا شكّ في مسح الرجل اليسرى، و أحرز عدم بقاء الموالاة المُعتبرة صدق أنَّه شكّ و لم يكن في حال الوضوء و صار في حال اخرى</w:t>
      </w:r>
    </w:p>
    <w:p>
      <w:pPr>
        <w:pStyle w:val="BookText"/>
        <w:rPr/>
      </w:pPr>
      <w:r>
        <w:rPr>
          <w:rFonts w:ascii="Amiri" w:hAnsi="Amiri" w:eastAsia="Amiri" w:cs="Amiri"/>
          <w:color w:val="111111"/>
          <w:sz w:val="28"/>
          <w:sz w:val="28"/>
          <w:szCs w:val="28"/>
          <w:rtl w:val="true"/>
          <w:lang w:bidi="ar-SA"/>
        </w:rPr>
        <w:t>و أمّا مع بقائها أو الشكّ في بقائها فلا بدّ من الرجوع و مسح الرجل، أمّا مع بقاء الموالاة؛ فلصدق كونه في حال الوضوء، و أمّا مع الشكّ فلإحرازه بالأصل، مُضافاً إلى قاعدة الشغل، و هي و إن تقتضي الإعادة لكنّ مُقتضى الأدلّة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الجواب عن ذيل الصحيحة؛ فإنَّ الحالة الاخرى إن كانت من الحالات المُترتّبة على الغسل فلا إشكال فيه، و أمّا مع عدم الترتّب فلا يصدق أنَّه في حال اخرى لعدم الانتقال عن الجزء المشكوك فيه؛ لأنَّ الموالاة غير مُعتبرة في أجزاء الغسل، و لا في أجزاء أجزائه، فحال الغسل باقية مع عدم غسل الجزء أو جزء الجزء، و مع الشكّ فيه يكون الانتقال إلى حال اخرى مشكوكاً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الشكّ في الجزء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من الأجزاء المُعظمة، كمسح الرجل أو بعضها، و كغسل البعض اليسير من الطرف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أنَّه فرغ من العمل، و قام عن الوضوء، و دخل في حال اخرى و لم يكن في حال الوضوء و لو مع بقاء الموالاة العرفيّة، فمَن اشتغل بالتمندل و شكّ في مسح رجله اليسرى صدقت عليه تلك العناوين، كمن خرج من الحمّام و شكّ في غسل بعض جسده من الطرف الأيسر؛ و ذلك لأنَّ صدق الفراغ مع الشكّ في مسح الرجل و كذا مع الشكّ في غسل الطرف الأيسر أو بعضه ممنوع؛ ضرورة أنَّه مع العلم بعدم المسح و الغسل لا يصدق الفراغ إلّا بالمسامحة، فكيف يصدق مع الشكّ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أن يكون الشكّ مؤثّراً فيه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ما ذكر تقرير لقاعدة الفراغ التي لا أصل لها؛ لما عرفت </w:t>
      </w:r>
      <w:r>
        <w:rPr>
          <w:rStyle w:val="FootnoteAnchor"/>
          <w:rtl w:val="true"/>
        </w:rPr>
        <w:footnoteReference w:id="638"/>
      </w:r>
      <w:r>
        <w:rPr>
          <w:rFonts w:ascii="Amiri" w:hAnsi="Amiri" w:eastAsia="Amiri" w:cs="Amiri"/>
          <w:color w:val="111111"/>
          <w:sz w:val="28"/>
          <w:sz w:val="28"/>
          <w:szCs w:val="28"/>
          <w:rtl w:val="true"/>
          <w:lang w:bidi="ar-SA"/>
        </w:rPr>
        <w:t>من أنَّ المجعول بحسب الأخبار هو قاعدة التجاوز، و أنَّ الوضوء أيضاً مشمول لقاعدة</w:t>
      </w:r>
      <w:bookmarkStart w:id="462" w:name="pg2245_13076"/>
    </w:p>
    <w:p>
      <w:pPr>
        <w:pStyle w:val="BookText"/>
        <w:rPr/>
      </w:pPr>
      <w:bookmarkEnd w:id="462"/>
      <w:r>
        <w:rPr>
          <w:rFonts w:ascii="Amiri" w:hAnsi="Amiri" w:eastAsia="Amiri" w:cs="Amiri"/>
          <w:color w:val="111111"/>
          <w:sz w:val="28"/>
          <w:sz w:val="28"/>
          <w:szCs w:val="28"/>
          <w:rtl w:val="true"/>
          <w:lang w:bidi="ar-SA"/>
        </w:rPr>
        <w:t>التجاوز، لكنّها مُقيّدة بالنسبة إليه بتجاوز محلّ جميع الأجزاء، فلا عبرة بصدق عنوان الفراغ، بل المُعتبر صدق عنوان تجاوز محلّ أجزاء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في حال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 لعدم كونه في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اخرى عن بقاء المحلّ و عدمه، و هو بيان للقيد المُعتبر في قاعدة التجاوز بالنسبة إلى الوضوء خاصّة، فحينئذٍ لا مجال للدعوى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المحلّ العاديّ، عادة شخصيّة كانت أو نوعيّة، فتدبّر جيّداً</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614217_3804643083"/>
      <w:bookmarkStart w:id="464" w:name="_Toc169"/>
      <w:bookmarkEnd w:id="463"/>
      <w:r>
        <w:rPr>
          <w:rtl w:val="true"/>
        </w:rPr>
        <w:t>الأمر الخامس هل الدخول في الغير مُعتبر في القاعدة أم لا؟</w:t>
      </w:r>
      <w:bookmarkEnd w:id="464"/>
    </w:p>
    <w:p>
      <w:pPr>
        <w:pStyle w:val="BookText"/>
        <w:rPr/>
      </w:pPr>
      <w:r>
        <w:rPr>
          <w:rFonts w:ascii="Amiri" w:hAnsi="Amiri" w:eastAsia="Amiri" w:cs="Amiri"/>
          <w:color w:val="111111"/>
          <w:sz w:val="28"/>
          <w:sz w:val="28"/>
          <w:szCs w:val="28"/>
          <w:rtl w:val="true"/>
          <w:lang w:bidi="ar-SA"/>
        </w:rPr>
        <w:t>هل الدخول في الغير مُعتبر في قاعدة التجاوز و لو لم يكن مُحقّقاً له أم لا</w:t>
      </w:r>
      <w:r>
        <w:rPr>
          <w:rStyle w:val="FootnoteAnchor"/>
          <w:rtl w:val="true"/>
        </w:rPr>
        <w:footnoteReference w:id="6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فرض اعتباره هل المُعتبر هو الدخول في الركن </w:t>
      </w:r>
      <w:r>
        <w:rPr>
          <w:rStyle w:val="FootnoteAnchor"/>
          <w:rtl w:val="true"/>
        </w:rPr>
        <w:footnoteReference w:id="640"/>
      </w:r>
      <w:r>
        <w:rPr>
          <w:rFonts w:ascii="Amiri" w:hAnsi="Amiri" w:eastAsia="Amiri" w:cs="Amiri"/>
          <w:color w:val="111111"/>
          <w:sz w:val="28"/>
          <w:sz w:val="28"/>
          <w:szCs w:val="28"/>
          <w:rtl w:val="true"/>
          <w:lang w:bidi="ar-SA"/>
        </w:rPr>
        <w:t>أو في الأفعال الواجبة</w:t>
      </w:r>
      <w:r>
        <w:rPr>
          <w:rStyle w:val="FootnoteAnchor"/>
          <w:rtl w:val="true"/>
        </w:rPr>
        <w:footnoteReference w:id="641"/>
      </w:r>
      <w:r>
        <w:rPr>
          <w:rFonts w:ascii="Amiri" w:hAnsi="Amiri" w:eastAsia="Amiri" w:cs="Amiri"/>
          <w:color w:val="111111"/>
          <w:sz w:val="28"/>
          <w:sz w:val="28"/>
          <w:szCs w:val="28"/>
          <w:rtl w:val="true"/>
          <w:lang w:bidi="ar-SA"/>
        </w:rPr>
        <w:t>أو في الأفعال مُطلقاً، واجبة كانت أو مُستحبّة</w:t>
      </w:r>
      <w:r>
        <w:rPr>
          <w:rStyle w:val="FootnoteAnchor"/>
          <w:rtl w:val="true"/>
        </w:rPr>
        <w:footnoteReference w:id="642"/>
      </w:r>
      <w:r>
        <w:rPr>
          <w:rFonts w:ascii="Amiri" w:hAnsi="Amiri" w:eastAsia="Amiri" w:cs="Amiri"/>
          <w:color w:val="111111"/>
          <w:sz w:val="28"/>
          <w:sz w:val="28"/>
          <w:szCs w:val="28"/>
          <w:rtl w:val="true"/>
          <w:lang w:bidi="ar-SA"/>
        </w:rPr>
        <w:t>، أو مطلق الغير المُترتّب على الجزء المشكوك فيه و لو كان من مُقدّمات الأفعال، كالنهوض إلى القيام و الهويّ إلى السجود</w:t>
      </w:r>
      <w:r>
        <w:rPr>
          <w:rStyle w:val="FootnoteAnchor"/>
          <w:rtl w:val="true"/>
        </w:rPr>
        <w:footnoteReference w:id="643"/>
      </w:r>
      <w:r>
        <w:rPr>
          <w:rFonts w:ascii="IRNazanin" w:hAnsi="IRNazanin" w:eastAsia="IRNazanin"/>
          <w:color w:val="111111"/>
          <w:sz w:val="28"/>
          <w:sz w:val="28"/>
          <w:szCs w:val="28"/>
          <w:rtl w:val="true"/>
          <w:lang w:bidi="fa-IR"/>
        </w:rPr>
        <w:t>؟ وجوه بل أقوال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أوجهها عدم الاعتبار مُطلقاً إلّا إذا كان مُحقّقاً للتجاوز، لكنّ اعتباره حينئذٍ ليس</w:t>
      </w:r>
    </w:p>
    <w:p>
      <w:pPr>
        <w:pStyle w:val="BookText"/>
        <w:rPr/>
      </w:pPr>
      <w:r>
        <w:rPr>
          <w:rFonts w:ascii="Amiri" w:hAnsi="Amiri" w:eastAsia="Amiri" w:cs="Amiri"/>
          <w:color w:val="111111"/>
          <w:sz w:val="28"/>
          <w:sz w:val="28"/>
          <w:szCs w:val="28"/>
          <w:rtl w:val="true"/>
          <w:lang w:bidi="ar-SA"/>
        </w:rPr>
        <w:t>لأجل دخالته في موضوع الحكم، بل لأجل ملازمته مع الموضوع، و إلّا فالموضوع هو نفس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عدم اعتباره يتّضح بعد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المستفاد من أخبار الباب أنَّ السرّ في جعل قاعدة التجاوز ليس هو مُجرّد التسهيل على العباد؛ لكثرة وقوع الشكّ بعد العمل، بل نكتة الجعل أنَّ الإنسان لمّا كان حين العمل أقرب إلى الحقّ، و أذكر في إتيان العمل على وجهه تعبّد الشارع بالبناء على إتيان العمل المشكوك فيه في محلّه، و أنَّ الفاعل لم يتجاوز عن المحلّ إلّا و قد أتى بما هي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قوله في موثّقة بكير بن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p>
    <w:p>
      <w:pPr>
        <w:pStyle w:val="BookText"/>
        <w:rPr/>
      </w:pPr>
      <w:r>
        <w:rPr>
          <w:rStyle w:val="FootnoteAnchor"/>
          <w:rtl w:val="true"/>
        </w:rPr>
        <w:footnoteReference w:id="644"/>
      </w:r>
      <w:r>
        <w:rPr>
          <w:rFonts w:ascii="Amiri" w:hAnsi="Amiri" w:eastAsia="Amiri" w:cs="Amiri"/>
          <w:color w:val="111111"/>
          <w:sz w:val="28"/>
          <w:sz w:val="28"/>
          <w:szCs w:val="28"/>
          <w:rtl w:val="true"/>
          <w:lang w:bidi="ar-SA"/>
        </w:rPr>
        <w:t>حيث يظهر منها أنَّ وجه عدم الاعتناء بالشكّ أنَّ الآتي بالعمل حين اشتغاله به أذكر منه بعده، و مع كونه ذاكراً أتى به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 رواية مُحمد بن مسلم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حين انصرف أقرب إلى الحقّ منه بعد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645"/>
      </w:r>
      <w:r>
        <w:rPr>
          <w:rFonts w:ascii="Amiri" w:hAnsi="Amiri" w:eastAsia="Amiri" w:cs="Amiri"/>
          <w:color w:val="111111"/>
          <w:sz w:val="28"/>
          <w:sz w:val="28"/>
          <w:szCs w:val="28"/>
          <w:rtl w:val="true"/>
          <w:lang w:bidi="ar-SA"/>
        </w:rPr>
        <w:t>و المُراد من حين الانصراف حين الاشتعال بالسلام؛ لكون الانصراف هو السلام في لسان الروايات، و يظهر منه أنَّ عدم الاعتناء بالشكّ بعد العمل إنّما هو لأجل أقربيّته إلى الحقّ حين العمل، فلا محالة أتى به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w:t>
      </w:r>
    </w:p>
    <w:p>
      <w:pPr>
        <w:pStyle w:val="BookText"/>
        <w:rPr/>
      </w:pPr>
      <w:r>
        <w:rPr>
          <w:rFonts w:ascii="Amiri" w:hAnsi="Amiri" w:eastAsia="Amiri" w:cs="Amiri"/>
          <w:color w:val="111111"/>
          <w:sz w:val="28"/>
          <w:sz w:val="28"/>
          <w:szCs w:val="28"/>
          <w:rtl w:val="true"/>
          <w:lang w:bidi="ar-SA"/>
        </w:rPr>
        <w:t>صحيحة حمّاد بن عثمان المنقولة في أبواب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 و أنا ساجد، فلا أدري ركعت أم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ركعت، أمضه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6"/>
      </w:r>
      <w:r>
        <w:rPr>
          <w:rFonts w:ascii="Amiri" w:hAnsi="Amiri" w:eastAsia="Amiri" w:cs="Amiri"/>
          <w:color w:val="111111"/>
          <w:sz w:val="28"/>
          <w:sz w:val="28"/>
          <w:szCs w:val="28"/>
          <w:rtl w:val="true"/>
          <w:lang w:bidi="ar-SA"/>
        </w:rPr>
        <w:t>تدلّ على أنَّ الآتي بالمأمور به قد أتى بوظيفته في محلّها، و يكون هذا نكتة التعبّد بعدم الاعتناء بالشكّ، إلى غير ذلك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أنَّ قاعدة التجاوز ليست مجعولة لمحض التسهيل؛ بل</w:t>
      </w:r>
    </w:p>
    <w:p>
      <w:pPr>
        <w:pStyle w:val="BookText"/>
        <w:rPr/>
      </w:pPr>
      <w:r>
        <w:rPr>
          <w:rFonts w:ascii="Amiri" w:hAnsi="Amiri" w:eastAsia="Amiri" w:cs="Amiri"/>
          <w:color w:val="111111"/>
          <w:sz w:val="28"/>
          <w:sz w:val="28"/>
          <w:szCs w:val="28"/>
          <w:rtl w:val="true"/>
          <w:lang w:bidi="ar-SA"/>
        </w:rPr>
        <w:t>لكون المُكلف يأتي بالعمل على طبق وظيفته، و يكون حين العمل أذكر منه حين 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ممّا ذكر أنَّ الدخول في الغير غير دخيل في موضوع الحكم، و أنَّ تمام الموضوع للحكم بعدم الاعتناء بالشكّ هو أنَّ المُكلّف الذاكر يأتي بوظيفته حين اشتغاله بالعمل، فإذا تجاوز عن المحلّ يتحقّق موضوع القاعدة، دخل في الغير أولا، و لا يكون الدخول في الغير دخيلًا في الحكم حتّى فيما كان مُحقّقاً للتجاوز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التنبيه بما ذكرنا تفهم القيديّة من قوله في صحيحتي زُرارة و إسماعيل بن جابر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ذكر الدخول في الغير لتحقّق التجاوز نوعاً به، لا لدخالته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عليه قوله في ذيل موثّقة ابن أبي يعفور في مقام إعطاء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w:t>
      </w:r>
    </w:p>
    <w:p>
      <w:pPr>
        <w:pStyle w:val="BookText"/>
        <w:rPr/>
      </w:pPr>
      <w:r>
        <w:rPr>
          <w:rStyle w:val="FootnoteAnchor"/>
          <w:rtl w:val="true"/>
        </w:rPr>
        <w:footnoteReference w:id="647"/>
      </w:r>
      <w:r>
        <w:rPr>
          <w:rFonts w:ascii="Amiri" w:hAnsi="Amiri" w:eastAsia="Amiri" w:cs="Amiri"/>
          <w:color w:val="111111"/>
          <w:sz w:val="28"/>
          <w:sz w:val="28"/>
          <w:szCs w:val="28"/>
          <w:rtl w:val="true"/>
          <w:lang w:bidi="ar-SA"/>
        </w:rPr>
        <w:t>مع ذكر الدخول في الغير في صدرها؛ فإنَّ الظاهر من ذيلها أنَّه بصدد إعطاء كبرى كلّية، و يكون الصدر مصداقاً لها، فحصر لزوم الاعتناء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مُتشاغلًا بالشي‌ء و لم يجزه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الموضوع للحكم نفس الخروج عن المحلّ و التجاوز عنه، و لا دخالة لشي‌ءٍ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أفاده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الغير في صحيحة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كون صدرها في مقام التحديد و التوطئة للقاعدة المُقرّرة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السجود و القيام حدّاً للغير الذي يعتبر الدخول فيه، و أنه لا غير أقرب من السجود و القيام بالنسبة إلى الركوع و السجود؛ إذ لو كان الهويّ و النهوض كافيين قبح في مقام التوطئة للقاعدة التحديد بالسجود و القيام، و لم يكن وجه لجزم المشهور بوجوب الالتفات إذا شكّ قبل الاستواء قائماً</w:t>
      </w:r>
      <w:r>
        <w:rPr>
          <w:rStyle w:val="FootnoteAnchor"/>
          <w:rtl w:val="true"/>
        </w:rPr>
        <w:footnoteReference w:id="6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كون الصدر في مقام التحديد، و أنه لا غير أقرب ممّا ذكر ممنوعة؛</w:t>
      </w:r>
    </w:p>
    <w:p>
      <w:pPr>
        <w:pStyle w:val="BookText"/>
        <w:rPr/>
      </w:pPr>
      <w:r>
        <w:rPr>
          <w:rFonts w:ascii="Amiri" w:hAnsi="Amiri" w:eastAsia="Amiri" w:cs="Amiri"/>
          <w:color w:val="111111"/>
          <w:sz w:val="28"/>
          <w:sz w:val="28"/>
          <w:szCs w:val="28"/>
          <w:rtl w:val="true"/>
          <w:lang w:bidi="ar-SA"/>
        </w:rPr>
        <w:t>لعدم الدليل عليها، و يكفي في نكتة ترك ذكر الهويّ و النهوض، أنَّ الشكّ لا يعرض غالباً عندهما؛ لقربهما إلى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مُنافاة ما ذكره لموثّقة عبد الرحمن المنقولة في أبواب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سعد، عن أبي جعفر، عن أحمد بن محمّد بن أبي نصر، عن أبان بن عثمان، عن عبد الرحمن بن أبي عبد اللَّه </w:t>
      </w:r>
      <w:r>
        <w:rPr>
          <w:rStyle w:val="FootnoteAnchor"/>
          <w:rtl w:val="true"/>
        </w:rPr>
        <w:footnoteReference w:id="649"/>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قلت لأبي عبد اللَّه عليه السلام رجل أهوى إلى السجود فلم يدرِ أركع أم لم يركع؟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w:t>
      </w:r>
    </w:p>
    <w:p>
      <w:pPr>
        <w:pStyle w:val="BookText"/>
        <w:rPr/>
      </w:pP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على أنَّ الدخول في السجود ليس دخيلًا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جزم المشهور بوجوب الالتفات إذا شكّ في السجود قبل الاستواء قائماً على فرض ثبوته فلعلّه لموثّقة عبد الرحمن الاخرى المنقولة في أبواب السجود بالسند المُتقدّم</w:t>
      </w:r>
    </w:p>
    <w:p>
      <w:pPr>
        <w:pStyle w:val="BookText"/>
        <w:rPr/>
      </w:pPr>
      <w:r>
        <w:rPr>
          <w:rFonts w:ascii="Amiri" w:hAnsi="Amiri" w:eastAsia="Amiri" w:cs="Amiri"/>
          <w:color w:val="111111"/>
          <w:sz w:val="28"/>
          <w:sz w:val="28"/>
          <w:szCs w:val="28"/>
          <w:rtl w:val="true"/>
          <w:lang w:bidi="ar-SA"/>
        </w:rPr>
        <w:t>عن عبد الرحمن بن أبي عبد اللَّه،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رفع رأسه من السجود فشكّ قبل أن يستوي جالساً، فلم يدرِ أسجد أم لم يسجد؟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نهض من سجوده، فشكّ قبل أن يستوي قائماً، فلم يدرِ أسجد أم لم يسجد؟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مُخصّصة بالنسبة إلى هذه الصورة، و لا إشكال فيه بعد قيام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الدخول في الغير غير مُعتبر في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اعتباره فلا وجه معتدّ به للاختصاص بأمرٍ خاصّ كالركن مثلًا</w:t>
      </w:r>
      <w:r>
        <w:rPr>
          <w:rStyle w:val="FootnoteAnchor"/>
          <w:rtl w:val="true"/>
        </w:rPr>
        <w:footnoteReference w:id="652"/>
      </w:r>
      <w:r>
        <w:rPr>
          <w:rFonts w:ascii="Amiri" w:hAnsi="Amiri" w:eastAsia="Amiri" w:cs="Amiri"/>
          <w:color w:val="111111"/>
          <w:sz w:val="28"/>
          <w:sz w:val="28"/>
          <w:szCs w:val="28"/>
          <w:rtl w:val="true"/>
          <w:lang w:bidi="ar-SA"/>
        </w:rPr>
        <w:t>بدعوى أنَّ المُراد بالمحلّ هو محلّ تدارك الأجزاء المنسيّة، و هو كما ترى</w:t>
      </w:r>
    </w:p>
    <w:p>
      <w:pPr>
        <w:pStyle w:val="BookText"/>
        <w:rPr/>
      </w:pPr>
      <w:r>
        <w:rPr>
          <w:rFonts w:ascii="Amiri" w:hAnsi="Amiri" w:eastAsia="Amiri" w:cs="Amiri"/>
          <w:color w:val="111111"/>
          <w:sz w:val="28"/>
          <w:sz w:val="28"/>
          <w:szCs w:val="28"/>
          <w:rtl w:val="true"/>
          <w:lang w:bidi="ar-SA"/>
        </w:rPr>
        <w:t>و كالأجزاء الواجبة</w:t>
      </w:r>
      <w:r>
        <w:rPr>
          <w:rStyle w:val="FootnoteAnchor"/>
          <w:rtl w:val="true"/>
        </w:rPr>
        <w:footnoteReference w:id="653"/>
      </w:r>
      <w:r>
        <w:rPr>
          <w:rFonts w:ascii="Amiri" w:hAnsi="Amiri" w:eastAsia="Amiri" w:cs="Amiri"/>
          <w:color w:val="111111"/>
          <w:sz w:val="28"/>
          <w:sz w:val="28"/>
          <w:szCs w:val="28"/>
          <w:rtl w:val="true"/>
          <w:lang w:bidi="ar-SA"/>
        </w:rPr>
        <w:t>بدعوى الانصراف إليها، بعد عدّ الواجبات في صحيحة زُرارة، فإنَّه أيضاً ضعيف؛ ضرورة عدم صيرورة ذلك موجباً للانصراف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مطلق الأجزاء مُستحبة كانت أو غير مُستحبّة؛ لما أشار إليه الشيخ </w:t>
      </w:r>
      <w:r>
        <w:rPr>
          <w:rStyle w:val="FootnoteAnchor"/>
          <w:rtl w:val="true"/>
        </w:rPr>
        <w:footnoteReference w:id="654"/>
      </w:r>
      <w:r>
        <w:rPr>
          <w:rFonts w:ascii="Amiri" w:hAnsi="Amiri" w:eastAsia="Amiri" w:cs="Amiri"/>
          <w:color w:val="111111"/>
          <w:sz w:val="28"/>
          <w:sz w:val="28"/>
          <w:szCs w:val="28"/>
          <w:rtl w:val="true"/>
          <w:lang w:bidi="ar-SA"/>
        </w:rPr>
        <w:t>، و قد عرفت ما فيه، أو لدعوى الانصراف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من الغير على فرض اعتباره مُطلق الغير الذي يكون مُرتّباً وجوداً على الفعل المشكوك فيه، حتّى مثل النهوض و الهُوِيّ، 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موثّقة عبد الرحمن المُتقدّمة</w:t>
      </w:r>
      <w:r>
        <w:rPr>
          <w:rStyle w:val="FootnoteAnchor"/>
          <w:rtl w:val="true"/>
        </w:rPr>
        <w:footnoteReference w:id="655"/>
      </w:r>
      <w:r>
        <w:rPr>
          <w:rFonts w:ascii="Amiri" w:hAnsi="Amiri" w:eastAsia="Amiri" w:cs="Amiri"/>
          <w:color w:val="111111"/>
          <w:sz w:val="28"/>
          <w:sz w:val="28"/>
          <w:szCs w:val="28"/>
          <w:rtl w:val="true"/>
          <w:lang w:bidi="ar-SA"/>
        </w:rPr>
        <w:t>فإنَّ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بعدم الاعتناء و المضيّ لكون المورد مندرجاً في الكبرى المعهودة، لا كونه لقاعدة اخرى مُستقلّة، و أمّا تقييد القاعدة فلا مانع منه، فإنَّه ليس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المطلوب أيضاً إطلاق رواية عليّ بن جعفر المنقولة في أبواب الخلل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 عن جدّه عليّ بن جعفر</w:t>
      </w:r>
      <w:r>
        <w:rPr>
          <w:rStyle w:val="FootnoteAnchor"/>
          <w:rtl w:val="true"/>
        </w:rPr>
        <w:footnoteReference w:id="656"/>
      </w:r>
      <w:r>
        <w:rPr>
          <w:rFonts w:ascii="Amiri" w:hAnsi="Amiri" w:eastAsia="Amiri" w:cs="Amiri"/>
          <w:color w:val="111111"/>
          <w:sz w:val="28"/>
          <w:sz w:val="28"/>
          <w:szCs w:val="28"/>
          <w:rtl w:val="true"/>
          <w:lang w:bidi="ar-SA"/>
        </w:rPr>
        <w:t>،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ركع و سجد، و لم يدرِ هل كبّر أو قال شيئاً في ركوعه و سجوده، هل يعتدّ بتلك الركعة و السجدة؟</w:t>
      </w:r>
      <w:bookmarkStart w:id="465" w:name="pg2245_13081"/>
    </w:p>
    <w:p>
      <w:pPr>
        <w:pStyle w:val="BookText"/>
        <w:rPr/>
      </w:pPr>
      <w:bookmarkEnd w:id="4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فليمض في صلاته</w:t>
      </w:r>
      <w:r>
        <w:rPr>
          <w:rFonts w:eastAsia="Amiri" w:cs="Amiri" w:ascii="Amiri" w:hAnsi="Amiri"/>
          <w:color w:val="111111"/>
          <w:sz w:val="28"/>
          <w:szCs w:val="28"/>
          <w:rtl w:val="true"/>
          <w:lang w:bidi="ar-SA"/>
        </w:rPr>
        <w:t>)</w:t>
      </w:r>
    </w:p>
    <w:p>
      <w:pPr>
        <w:pStyle w:val="BookText"/>
        <w:rPr/>
      </w:pP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منها عدم الاعتناء بالشكّ في الذكر بعد الركوع و السجود، و أنَّ عدم الاعتناء إنَّما هو لأجل الشكّ، فإنَّ الظاهر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فليمض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الإمضاء لقاعدة التجاوز، و إن كان العدول إلى السجود و الركوع غير جائز، على فرض العلم بعدم الإتيان بذكرهما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ينافي ذلك جريان القاعدة فيهما في موردهما، و أثره عدم وجوب سجدة السهو أو استحبابها على فرض ثبوتها لكلّ زيادة و نقيصة و لو استحباباً؛ لأنَّ مُقتضى استصحاب عدم الإتيان بذكرهما ثبوت سجدة السهو</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614219_3804643083"/>
      <w:bookmarkStart w:id="467" w:name="_Toc170"/>
      <w:bookmarkEnd w:id="466"/>
      <w:r>
        <w:rPr>
          <w:rtl w:val="true"/>
        </w:rPr>
        <w:t>الأمر السادس هل المضيّ و عدم الاعتناء بالشكّ بعد التجاوز على نحو الرخصة أو العزيمة؟</w:t>
      </w:r>
      <w:bookmarkEnd w:id="467"/>
    </w:p>
    <w:p>
      <w:pPr>
        <w:pStyle w:val="BookText"/>
        <w:rPr/>
      </w:pPr>
      <w:r>
        <w:rPr>
          <w:rFonts w:ascii="Amiri" w:hAnsi="Amiri" w:eastAsia="Amiri" w:cs="Amiri"/>
          <w:color w:val="111111"/>
          <w:sz w:val="28"/>
          <w:sz w:val="28"/>
          <w:szCs w:val="28"/>
          <w:rtl w:val="true"/>
          <w:lang w:bidi="ar-SA"/>
        </w:rPr>
        <w:t>قيل ظاهر الأوامر يقتضي وجوب المُضيّ و عدم الالتفات، فيكون على وجه العزيمة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الأوامر واردة مورد توهّم الحظر، فلا يفهم منها أزيد من الجواز</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أصل الدعوى بأنَّ كونه عزيمة لا يتوقف على كون الأمر بالمُضيّ للوجوب، بل يكفي في ذلك كونه مُتفرّعاً على حكم الشارع بأنَّ شكّه ليس بشي‌ءٍ؛ فإنَّ مُقتضى ذلك كون التلافي بقصد المشروعيّة تشريعاً و مُلحقاً بالزيادة العمديّة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يُستفاد من 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شكّك ليس بشي‌ءٍ</w:t>
      </w:r>
      <w:r>
        <w:rPr>
          <w:rFonts w:eastAsia="Amiri" w:cs="Amiri" w:ascii="Amiri" w:hAnsi="Amiri"/>
          <w:color w:val="111111"/>
          <w:sz w:val="28"/>
          <w:szCs w:val="28"/>
          <w:rtl w:val="true"/>
          <w:lang w:bidi="ar-SA"/>
        </w:rPr>
        <w:t>)</w:t>
      </w:r>
    </w:p>
    <w:p>
      <w:pPr>
        <w:pStyle w:val="BookText"/>
        <w:rPr/>
      </w:pPr>
      <w:r>
        <w:rPr>
          <w:rStyle w:val="FootnoteAnchor"/>
          <w:rtl w:val="true"/>
        </w:rPr>
        <w:footnoteReference w:id="661"/>
      </w:r>
      <w:r>
        <w:rPr>
          <w:rFonts w:ascii="Amiri" w:hAnsi="Amiri" w:eastAsia="Amiri" w:cs="Amiri"/>
          <w:color w:val="111111"/>
          <w:sz w:val="28"/>
          <w:sz w:val="28"/>
          <w:szCs w:val="28"/>
          <w:rtl w:val="true"/>
          <w:lang w:bidi="ar-SA"/>
        </w:rPr>
        <w:t>أنَّه لا يعتنى به، فيأتي الكلام في أنَّ عدم الاعتناء هل هو على وجه العزيمة أو الرخصة؟ فلو سلّم أنَّه لا يُستفاد من الأوامر أزيد من الجواز لا وجه لدعوى أنَّ الإتيان بقصد المشروعيّة تشريع؛ لأنَّ مُقتضى عدم الاعتناء على وجه الرخصة أنَّ المُكلّف مُرخّص في ترك هذا الجزء من المُركّب، و مجاز في عدم الاعتناء بشكّه، كما أنَّه مُرخّص في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أدلّة التجاوز حاكمة على استصحاب عدم الإتيان بالجزء المشكوك فيه، فمقتضى الاستصحاب و أدلّة التجاوز أنَّه لو أتى به يكون جزءاً للمركّب، و لا بأس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بمحكوميّة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دلالة أدلّة التجاوز على كون عدم الاعتناء على وجه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الإتيان بالجزء أيضاً بعنوان الجزئيّة، لا لقاعدة الاشتغال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الأمر بين المحذورين </w:t>
      </w:r>
      <w:r>
        <w:rPr>
          <w:rStyle w:val="FootnoteAnchor"/>
          <w:rtl w:val="true"/>
        </w:rPr>
        <w:footnoteReference w:id="662"/>
      </w:r>
      <w:r>
        <w:rPr>
          <w:rFonts w:ascii="Amiri" w:hAnsi="Amiri" w:eastAsia="Amiri" w:cs="Amiri"/>
          <w:color w:val="111111"/>
          <w:sz w:val="28"/>
          <w:sz w:val="28"/>
          <w:szCs w:val="28"/>
          <w:rtl w:val="true"/>
          <w:lang w:bidi="ar-SA"/>
        </w:rPr>
        <w:t>بل للاستفادة من الأدلّة الخاصَّة الواردة في الشكّ في المحلّ، فإنَّها بكثرتها تدلّ على أنَّ الإتيان بعنوان الجزئيّة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الأدلّة كما عرفت </w:t>
      </w:r>
      <w:r>
        <w:rPr>
          <w:rStyle w:val="FootnoteAnchor"/>
          <w:rtl w:val="true"/>
        </w:rPr>
        <w:footnoteReference w:id="663"/>
      </w:r>
      <w:r>
        <w:rPr>
          <w:rFonts w:ascii="Amiri" w:hAnsi="Amiri" w:eastAsia="Amiri" w:cs="Amiri"/>
          <w:color w:val="111111"/>
          <w:sz w:val="28"/>
          <w:sz w:val="28"/>
          <w:szCs w:val="28"/>
          <w:rtl w:val="true"/>
          <w:lang w:bidi="ar-SA"/>
        </w:rPr>
        <w:t>أنَّ المُكلّف الذي هو أذكر حين العمل و أقرب إلى الحق قد أتى بما هو وظيفته لا محالة، كما يفصح عن ذلك قوله في صحيحة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ركعت أمضه</w:t>
      </w:r>
      <w:r>
        <w:rPr>
          <w:rFonts w:eastAsia="Amiri" w:cs="Amiri" w:ascii="Amiri" w:hAnsi="Amiri"/>
          <w:color w:val="111111"/>
          <w:sz w:val="28"/>
          <w:szCs w:val="28"/>
          <w:rtl w:val="true"/>
          <w:lang w:bidi="ar-SA"/>
        </w:rPr>
        <w:t>)</w:t>
      </w:r>
    </w:p>
    <w:p>
      <w:pPr>
        <w:pStyle w:val="BookText"/>
        <w:rPr/>
      </w:pPr>
      <w:r>
        <w:rPr>
          <w:rStyle w:val="FootnoteAnchor"/>
          <w:rtl w:val="true"/>
        </w:rPr>
        <w:footnoteReference w:id="664"/>
      </w:r>
      <w:r>
        <w:rPr>
          <w:rFonts w:ascii="Amiri" w:hAnsi="Amiri" w:eastAsia="Amiri" w:cs="Amiri"/>
          <w:color w:val="111111"/>
          <w:sz w:val="28"/>
          <w:sz w:val="28"/>
          <w:szCs w:val="28"/>
          <w:rtl w:val="true"/>
          <w:lang w:bidi="ar-SA"/>
        </w:rPr>
        <w:t>و قوله في موثّقة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5"/>
      </w:r>
      <w:r>
        <w:rPr>
          <w:rFonts w:ascii="Amiri" w:hAnsi="Amiri" w:eastAsia="Amiri" w:cs="Amiri"/>
          <w:color w:val="111111"/>
          <w:sz w:val="28"/>
          <w:sz w:val="28"/>
          <w:szCs w:val="28"/>
          <w:rtl w:val="true"/>
          <w:lang w:bidi="ar-SA"/>
        </w:rPr>
        <w:t>فيُستفاد من تلك الأدلّة التعبّد بوجود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لقيام الأمارة عليه، أو لكون الأصل محرِزاً له، فمع التعبّد بوجوده يكون الإتيان به زيادة عمديّة، لا من باب التشريع، بل كسائر الزيادات العمديّة</w:t>
      </w:r>
      <w:r>
        <w:rPr>
          <w:rFonts w:eastAsia="Amiri" w:cs="Amiri" w:ascii="Amiri" w:hAnsi="Amiri"/>
          <w:color w:val="111111"/>
          <w:sz w:val="28"/>
          <w:szCs w:val="28"/>
          <w:rtl w:val="true"/>
          <w:lang w:bidi="ar-SA"/>
        </w:rPr>
        <w:t>.</w:t>
      </w:r>
      <w:bookmarkStart w:id="468" w:name="pg2245_13083"/>
    </w:p>
    <w:p>
      <w:pPr>
        <w:pStyle w:val="BookText"/>
        <w:rPr/>
      </w:pPr>
      <w:bookmarkEnd w:id="468"/>
      <w:r>
        <w:rPr>
          <w:rFonts w:ascii="Amiri" w:hAnsi="Amiri" w:eastAsia="Amiri" w:cs="Amiri"/>
          <w:color w:val="111111"/>
          <w:sz w:val="28"/>
          <w:sz w:val="28"/>
          <w:szCs w:val="28"/>
          <w:rtl w:val="true"/>
          <w:lang w:bidi="ar-SA"/>
        </w:rPr>
        <w:t>و الفرق أنَّ الزيادة هناك وجدانيّة، و هاهنا من ضمّ الوجدان إلى الأصل أو الأمارة، و ليس الأصل مُثبتاً؛ لأنَّ مفاد الأصل ليس إلّا وجود الجزء، فإذا أتى المُكلّف بجزء آخر يندرج الموضوع في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w:t>
      </w:r>
    </w:p>
    <w:p>
      <w:pPr>
        <w:pStyle w:val="BookText"/>
        <w:rPr/>
      </w:pPr>
      <w:r>
        <w:rPr>
          <w:rStyle w:val="FootnoteAnchor"/>
          <w:rtl w:val="true"/>
        </w:rPr>
        <w:footnoteReference w:id="666"/>
      </w:r>
      <w:r>
        <w:rPr>
          <w:rFonts w:ascii="Amiri" w:hAnsi="Amiri" w:eastAsia="Amiri" w:cs="Amiri"/>
          <w:color w:val="111111"/>
          <w:sz w:val="28"/>
          <w:sz w:val="28"/>
          <w:szCs w:val="28"/>
          <w:rtl w:val="true"/>
          <w:lang w:bidi="ar-SA"/>
        </w:rPr>
        <w:t>فلو شكّ في إتيان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الدخول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بسورةٍ اخرى يكون من القِران؛ فإنَّه ليس إلّا إتيان سورة بعد إتيان سورة، و الفرض أنَّ الشارع قد حكم بإتيان سورة، فبإتيان الاخرى يندرج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قِران بين السورتين في ركعة</w:t>
      </w:r>
      <w:r>
        <w:rPr>
          <w:rFonts w:eastAsia="Amiri" w:cs="Amiri" w:ascii="Amiri" w:hAnsi="Amiri"/>
          <w:color w:val="111111"/>
          <w:sz w:val="28"/>
          <w:szCs w:val="28"/>
          <w:rtl w:val="true"/>
          <w:lang w:bidi="ar-SA"/>
        </w:rPr>
        <w:t>)</w:t>
      </w:r>
    </w:p>
    <w:p>
      <w:pPr>
        <w:pStyle w:val="BookText"/>
        <w:rPr/>
      </w:pP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القِران عنواناً بسيطاً انتزاعياً لا يثبت بالأصل، لكن لا بأس بالاحتياط في مثل الحمد و الأدعية و الأذكار؛ فإنَّه لا مانع منه حتَّى مع تحقّق الأمارة على تحقّق الجزء، و لا تصدق عليه الزيادة العمديّة إذا كان بقصد رجاء المطلوبيّة و الاحتياط، و إن لا يخلو هاهنا من شوب إشكال، فالأحوط المُضيّ و عدم الاعتناء مُطلقاً</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614221_3804643083"/>
      <w:bookmarkStart w:id="470" w:name="_Toc171"/>
      <w:bookmarkEnd w:id="469"/>
      <w:r>
        <w:rPr>
          <w:rtl w:val="true"/>
        </w:rPr>
        <w:t>الأمر السابع أنَّ القاعدة من الأمارات أو الاصول؟</w:t>
      </w:r>
      <w:bookmarkEnd w:id="470"/>
    </w:p>
    <w:p>
      <w:pPr>
        <w:pStyle w:val="Heading5"/>
        <w:numPr>
          <w:ilvl w:val="4"/>
          <w:numId w:val="1"/>
        </w:numPr>
        <w:rPr/>
      </w:pPr>
      <w:bookmarkStart w:id="471" w:name="__RefHeading___Toc1614223_3804643083"/>
      <w:bookmarkStart w:id="472" w:name="_Toc172"/>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هل المُستفاد من الأدلّة أنَّ اعتبار القاعدة من باب الطريقيّة؛ بمعنى أنَّ الشارع جعل الظنّ الحاصل نوعاً من غلبة عمل الفاعل المختار، المريد لفراغ ذمّته بما هو وظيفته في المحلّ أمارة على إتيانه، و ألغى احتمال خلافه، و على هذا تكون القاعدة أمارة تأسيسيّة؟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أنّها أمارة عُقلائيّة، و تكون الروايات بصدد إمضاء ما لدى العقلاء؟</w:t>
      </w:r>
    </w:p>
    <w:p>
      <w:pPr>
        <w:pStyle w:val="BookText"/>
        <w:rPr/>
      </w:pPr>
      <w:r>
        <w:rPr>
          <w:rFonts w:ascii="Amiri" w:hAnsi="Amiri" w:eastAsia="Amiri" w:cs="Amiri"/>
          <w:color w:val="111111"/>
          <w:sz w:val="28"/>
          <w:sz w:val="28"/>
          <w:szCs w:val="28"/>
          <w:rtl w:val="true"/>
          <w:lang w:bidi="ar-SA"/>
        </w:rPr>
        <w:t>أو أنَّ المُستفاد منها أنَّ هاهنا قاعدتين إحداهما قاعدة التجاوز، و هي أمارة تأسيسيّة، و الاخرى قاعدة الفراغ، و هي أمارة إمضائيّة لما في يد العُقلاء؟</w:t>
      </w:r>
    </w:p>
    <w:p>
      <w:pPr>
        <w:pStyle w:val="BookText"/>
        <w:rPr/>
      </w:pPr>
      <w:r>
        <w:rPr>
          <w:rFonts w:ascii="Amiri" w:hAnsi="Amiri" w:eastAsia="Amiri" w:cs="Amiri"/>
          <w:color w:val="111111"/>
          <w:sz w:val="28"/>
          <w:sz w:val="28"/>
          <w:szCs w:val="28"/>
          <w:rtl w:val="true"/>
          <w:lang w:bidi="ar-SA"/>
        </w:rPr>
        <w:t>أو أنَّ قاعدة التجاوز أصل عمليّ تأسيسيّ، و قاعدة الفراغ أمارة عقلائيّة؟</w:t>
      </w:r>
    </w:p>
    <w:p>
      <w:pPr>
        <w:pStyle w:val="BookText"/>
        <w:rPr/>
      </w:pPr>
      <w:r>
        <w:rPr>
          <w:rFonts w:ascii="Amiri" w:hAnsi="Amiri" w:eastAsia="Amiri" w:cs="Amiri"/>
          <w:color w:val="111111"/>
          <w:sz w:val="28"/>
          <w:sz w:val="28"/>
          <w:szCs w:val="28"/>
          <w:rtl w:val="true"/>
          <w:lang w:bidi="ar-SA"/>
        </w:rPr>
        <w:t>و الروايات على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بصدد تأسيس أصل عمليّ هو قاعدة التجاوز، و الاخرى بصدد إمضاء ما لدى العُقلاء، و هو قاعدة الفراغ، و هي أمارة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قاعدة الفراغ أصل عُقلائيّ، و قاعدة التجاوز أصل شرعيّ تأسيسي؟</w:t>
      </w:r>
    </w:p>
    <w:p>
      <w:pPr>
        <w:pStyle w:val="BookText"/>
        <w:rPr/>
      </w:pPr>
      <w:r>
        <w:rPr>
          <w:rFonts w:ascii="Amiri" w:hAnsi="Amiri" w:eastAsia="Amiri" w:cs="Amiri"/>
          <w:color w:val="111111"/>
          <w:sz w:val="28"/>
          <w:sz w:val="28"/>
          <w:szCs w:val="28"/>
          <w:rtl w:val="true"/>
          <w:lang w:bidi="ar-SA"/>
        </w:rPr>
        <w:t>أو أنّهما أصلان تأسيسيّان شرعيّان؟</w:t>
      </w:r>
    </w:p>
    <w:p>
      <w:pPr>
        <w:pStyle w:val="BookText"/>
        <w:rPr/>
      </w:pPr>
      <w:r>
        <w:rPr>
          <w:rFonts w:ascii="Amiri" w:hAnsi="Amiri" w:eastAsia="Amiri" w:cs="Amiri"/>
          <w:color w:val="111111"/>
          <w:sz w:val="28"/>
          <w:sz w:val="28"/>
          <w:szCs w:val="28"/>
          <w:rtl w:val="true"/>
          <w:lang w:bidi="ar-SA"/>
        </w:rPr>
        <w:t>أو أنَّ 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هاهنا قاعدة واحدة، هي قاعدة التجاوز، و هي أصل عمليّ تأسيسي؟</w:t>
      </w:r>
    </w:p>
    <w:p>
      <w:pPr>
        <w:pStyle w:val="BookText"/>
        <w:rPr/>
      </w:pPr>
      <w:r>
        <w:rPr>
          <w:rFonts w:ascii="Amiri" w:hAnsi="Amiri" w:eastAsia="Amiri" w:cs="Amiri"/>
          <w:color w:val="111111"/>
          <w:sz w:val="28"/>
          <w:sz w:val="28"/>
          <w:szCs w:val="28"/>
          <w:rtl w:val="true"/>
          <w:lang w:bidi="ar-SA"/>
        </w:rPr>
        <w:t>و بناءً على أصليّتها هل هي أصل عمليّ محض بلا نظر إلى التعبّد بوجود المشكوك فيه، بل لسان التعبّد فيها هو المضيّ و عدم الاعتناء بالشكّ عملًا؟</w:t>
      </w:r>
    </w:p>
    <w:p>
      <w:pPr>
        <w:pStyle w:val="BookText"/>
        <w:rPr/>
      </w:pPr>
      <w:r>
        <w:rPr>
          <w:rFonts w:ascii="Amiri" w:hAnsi="Amiri" w:eastAsia="Amiri" w:cs="Amiri"/>
          <w:color w:val="111111"/>
          <w:sz w:val="28"/>
          <w:sz w:val="28"/>
          <w:szCs w:val="28"/>
          <w:rtl w:val="true"/>
          <w:lang w:bidi="ar-SA"/>
        </w:rPr>
        <w:t>أو أصل محرِز الإطلاق، فمفادها هو البناء على وجود المشكوك فيه مُطلقاً، كالاستصحاب بناءً على كونه أصلًا محرِزاً؟</w:t>
      </w:r>
    </w:p>
    <w:p>
      <w:pPr>
        <w:pStyle w:val="BookText"/>
        <w:rPr/>
      </w:pPr>
      <w:r>
        <w:rPr>
          <w:rFonts w:ascii="Amiri" w:hAnsi="Amiri" w:eastAsia="Amiri" w:cs="Amiri"/>
          <w:color w:val="111111"/>
          <w:sz w:val="28"/>
          <w:sz w:val="28"/>
          <w:szCs w:val="28"/>
          <w:rtl w:val="true"/>
          <w:lang w:bidi="ar-SA"/>
        </w:rPr>
        <w:t>أو أصل محرِز بنحو إضافيّ في موضوع خاصّ؛ أي بالنسبة إلى ما تجاوز محلّه، فيكون مفادها فيمن شكّ في الطهارة بعد الصلاة أنَّ الطهارة موجودة بالنسبة إلى الصلاة المأتيّ بها لا مطلقاً؟</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مرّ منّا بعض الكلام في الامور السالفة ممّا هو راجع إلى المقام، و أثبتنا أنَّ المُستفاد من الأدلّة هو جعل قاعدة واحدة هي قاعدة التجاوز، و أنَّ قاعدة الفراغ لا أصل لها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القاعدة أو القاعدتين أمارة عُقلائيّة أو أصلًا عُقلائيّاً، أو إحداهما أمارة عُقلائيّة، و الاخرى أصلًا عُقلائيّاً، فممّا لا وجه له؛ لعدم ثبوت بناء</w:t>
      </w:r>
    </w:p>
    <w:p>
      <w:pPr>
        <w:pStyle w:val="BookText"/>
        <w:rPr/>
      </w:pPr>
      <w:r>
        <w:rPr>
          <w:rFonts w:ascii="Amiri" w:hAnsi="Amiri" w:eastAsia="Amiri" w:cs="Amiri"/>
          <w:color w:val="111111"/>
          <w:sz w:val="28"/>
          <w:sz w:val="28"/>
          <w:szCs w:val="28"/>
          <w:rtl w:val="true"/>
          <w:lang w:bidi="ar-SA"/>
        </w:rPr>
        <w:t>العقلاء على 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قاعدة الفراغ قاعدة عُقلائيّة دون قاعدة التجاوز</w:t>
      </w:r>
      <w:r>
        <w:rPr>
          <w:rStyle w:val="FootnoteAnchor"/>
          <w:rtl w:val="true"/>
        </w:rPr>
        <w:footnoteReference w:id="668"/>
      </w:r>
      <w:r>
        <w:rPr>
          <w:rFonts w:ascii="Amiri" w:hAnsi="Amiri" w:eastAsia="Amiri" w:cs="Amiri"/>
          <w:color w:val="111111"/>
          <w:sz w:val="28"/>
          <w:sz w:val="28"/>
          <w:szCs w:val="28"/>
          <w:rtl w:val="true"/>
          <w:lang w:bidi="ar-SA"/>
        </w:rPr>
        <w:t>ففي غاية السقوط؛ لأنَّ المناط لدى العقلاء ليس عنوان الفراغ قطعاً، بل لو كان مناط لديهم فليس إلّا الغلبة المُشار إليها في صدر المبحث، و هذه الغلبة مُحقّقة في التجاوز و الفراغ بعنوان التجاوز عن المحلّ، لا الفراغ عن جميع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شكّ في الركعة الأخيرة في ركوع الركعة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بنى العُقلاء على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أمارة عُقلائيّة عليه، فإنَّما هو لأجل أنَّ الفاعل المُريد لفراغ ذمّته إنّما يأتي بما هو وظيفته في محلّه، فإذا تجاوز عن المحلّ و شكّ فيه يكون ما هو المناط مُحقّقاً، و ليس إتيان سائر الأجزاء دخيلًا فيه، و لا إتيان جميع المُركّب، و لا الفراغ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عدم الاعتناء هو تحقّق الفصل الطويل بين محلّ المشكوك فيه، و محلّ حدوث الشكّ، و هو مُحقّق في قاعدة الفراغ دون التجاوز</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ممنوعاً، منقوض طرداً و 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بناء العُقلاء على عدم الاعتناء بالشكّ بعد الفراغ أو التجاوز، و لم يثبت إلغاء الاحتمال، و ترتيب الأثر على هذه الغلبة عند العقلاء، فلا بدّ من عطف النظر إلى مفاد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طوائف</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مفادها هو مُجرّد الأمر بالمُضيّ، كموثّقة محمّد بن مُسلم </w:t>
      </w:r>
      <w:r>
        <w:rPr>
          <w:rStyle w:val="FootnoteAnchor"/>
          <w:rtl w:val="true"/>
        </w:rPr>
        <w:footnoteReference w:id="670"/>
      </w:r>
      <w:r>
        <w:rPr>
          <w:rFonts w:ascii="Amiri" w:hAnsi="Amiri" w:eastAsia="Amiri" w:cs="Amiri"/>
          <w:color w:val="111111"/>
          <w:sz w:val="28"/>
          <w:sz w:val="28"/>
          <w:szCs w:val="28"/>
          <w:rtl w:val="true"/>
          <w:lang w:bidi="ar-SA"/>
        </w:rPr>
        <w:t xml:space="preserve">، و صحيحته المنقولة في الخلل </w:t>
      </w:r>
      <w:r>
        <w:rPr>
          <w:rStyle w:val="FootnoteAnchor"/>
          <w:rtl w:val="true"/>
        </w:rPr>
        <w:footnoteReference w:id="671"/>
      </w:r>
      <w:r>
        <w:rPr>
          <w:rFonts w:ascii="Amiri" w:hAnsi="Amiri" w:eastAsia="Amiri" w:cs="Amiri"/>
          <w:color w:val="111111"/>
          <w:sz w:val="28"/>
          <w:sz w:val="28"/>
          <w:szCs w:val="28"/>
          <w:rtl w:val="true"/>
          <w:lang w:bidi="ar-SA"/>
        </w:rPr>
        <w:t>، و صحيحة إسماعيل بن جابر</w:t>
      </w:r>
      <w:r>
        <w:rPr>
          <w:rStyle w:val="FootnoteAnchor"/>
          <w:rtl w:val="true"/>
        </w:rPr>
        <w:footnoteReference w:id="6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مثلها غيرها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مفادها نفي الشكّ تعبّداً، و التعبّد بعدم الاعتناء به، كموثّقة ابن أبي يعفور</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بينهما، كصحيحة زُرارة صدراً و ذيلًا</w:t>
      </w:r>
      <w:r>
        <w:rPr>
          <w:rStyle w:val="FootnoteAnchor"/>
          <w:rtl w:val="true"/>
        </w:rPr>
        <w:footnoteReference w:id="675"/>
      </w:r>
      <w:r>
        <w:rPr>
          <w:rFonts w:ascii="Amiri" w:hAnsi="Amiri" w:eastAsia="Amiri" w:cs="Amiri"/>
          <w:color w:val="111111"/>
          <w:sz w:val="28"/>
          <w:sz w:val="28"/>
          <w:szCs w:val="28"/>
          <w:rtl w:val="true"/>
          <w:lang w:bidi="ar-SA"/>
        </w:rPr>
        <w:t>، و أمثال هذه الروايات ليس مفادها إلّا الأصل التعبّدي، و ليس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شكّك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التعبّد بعدم الاعتناء به و المُضيّ، و لذا جمع بينهما في صحيحة زُرارة بنحو الكبرى و الصغرى حيث إنَّ الظاهر من ذيلها أنَّه بصدد بيان الكبرى الكلّية المُندرجة تحتها الأمثلة المذكورة في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يتوهّم منه الأماريّة،</w:t>
      </w:r>
    </w:p>
    <w:p>
      <w:pPr>
        <w:pStyle w:val="BookText"/>
        <w:rPr/>
      </w:pPr>
      <w:r>
        <w:rPr>
          <w:rFonts w:ascii="Amiri" w:hAnsi="Amiri" w:eastAsia="Amiri" w:cs="Amiri"/>
          <w:color w:val="111111"/>
          <w:sz w:val="28"/>
          <w:sz w:val="28"/>
          <w:szCs w:val="28"/>
          <w:rtl w:val="true"/>
          <w:lang w:bidi="ar-SA"/>
        </w:rPr>
        <w:t>كموثّقة بكير بن أعين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p>
    <w:p>
      <w:pPr>
        <w:pStyle w:val="BookText"/>
        <w:rPr/>
      </w:pP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علّل عدم الاعتناء بالشكّ بالأذكريّة حين العمل، و هي تناسب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منها رواية</w:t>
      </w:r>
    </w:p>
    <w:p>
      <w:pPr>
        <w:pStyle w:val="BookText"/>
        <w:rPr/>
      </w:pPr>
      <w:r>
        <w:rPr>
          <w:rFonts w:ascii="Amiri" w:hAnsi="Amiri" w:eastAsia="Amiri" w:cs="Amiri"/>
          <w:color w:val="111111"/>
          <w:sz w:val="28"/>
          <w:sz w:val="28"/>
          <w:szCs w:val="28"/>
          <w:rtl w:val="true"/>
          <w:lang w:bidi="ar-SA"/>
        </w:rPr>
        <w:t>محمّد بن مُسلم، عن أبي عبد اللَّه عليه السلام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حين انصرف أقرب إلى الحقّ منه بعد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استفادة الأماريّة منها مُشكلة؛ لأنَّ مفادها ليس إلّا تحقّق المشكوك فيه؛ لأنَّ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مقام الجواب، و جعل كناية عن إتيان المشكوك فيه، فيكون مفادها التعبّد بتحقّقه، فتوافق مفاد صحيحة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ركعت أمضه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8"/>
      </w:r>
      <w:r>
        <w:rPr>
          <w:rFonts w:ascii="Amiri" w:hAnsi="Amiri" w:eastAsia="Amiri" w:cs="Amiri"/>
          <w:color w:val="111111"/>
          <w:sz w:val="28"/>
          <w:sz w:val="28"/>
          <w:szCs w:val="28"/>
          <w:rtl w:val="true"/>
          <w:lang w:bidi="ar-SA"/>
        </w:rPr>
        <w:t>و موثّقة</w:t>
      </w:r>
    </w:p>
    <w:p>
      <w:pPr>
        <w:pStyle w:val="BookText"/>
        <w:rPr/>
      </w:pPr>
      <w:r>
        <w:rPr>
          <w:rFonts w:ascii="IRNazanin" w:hAnsi="IRNazanin" w:eastAsia="IRNazanin"/>
          <w:color w:val="111111"/>
          <w:sz w:val="28"/>
          <w:sz w:val="28"/>
          <w:szCs w:val="28"/>
          <w:rtl w:val="true"/>
          <w:lang w:bidi="fa-IR"/>
        </w:rPr>
        <w:t>عبد الرحمن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w:t>
      </w:r>
    </w:p>
    <w:p>
      <w:pPr>
        <w:pStyle w:val="BookText"/>
        <w:rPr/>
      </w:pP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 الموثّقة و كذا رواية مُحمّد بن مُسلم إلّا التعبّد بوجود المشكوك، لا أماريّة الظنّ؛ و جعل الغلبة طريقاً إلى الواقع و لعلّ 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حين انصرف أقرب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نكتة التشريع، لا تأسيس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الالتزام به بمثل هذه الإشعارات؛ بعد تظافر الروايات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منهما إلقاء احتمال الغفلة، و هو على فرض تسليمه غير إلقاء احتمال الخلاف؛ أي الاحتمال المُقابل للظنّ، و الثاني مُستلزم لجعل الطريقيّة دون الأوّل،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قوله بعد السؤال عن الشكّ في الركوع بعد ما 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ركعت فأمضه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الطريقيّة</w:t>
      </w:r>
      <w:r>
        <w:rPr>
          <w:rStyle w:val="FootnoteAnchor"/>
          <w:rtl w:val="true"/>
        </w:rPr>
        <w:footnoteReference w:id="680"/>
      </w:r>
      <w:r>
        <w:rPr>
          <w:rFonts w:ascii="Amiri" w:hAnsi="Amiri" w:eastAsia="Amiri" w:cs="Amiri"/>
          <w:color w:val="111111"/>
          <w:sz w:val="28"/>
          <w:sz w:val="28"/>
          <w:szCs w:val="28"/>
          <w:rtl w:val="true"/>
          <w:lang w:bidi="ar-SA"/>
        </w:rPr>
        <w:t>، و له وجه لو لم يكن مسبوقاً بهذا السؤال، و أمّا معه فلا مجال لاستفادتها؛ لتوجّه الخطاب إلى الشاكّ،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الركوع بعد السجود فقد ركعت، و هو مُنافٍ للطريقيّة و إلقاء الشكّ، بل تعبّد بالوجود في ظرف الشكّ، و هو عين الأصليّة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أضعف منه دعوى استفادتها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للفرق بين ترتيب الحكم على الشكّ، و الحكم بعدم الاعتناء</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لسان عدم الاعتناء بالشكّ غير لسان الأمارة، التي لم يفرض فيها الشكّ أصلًا؛ لأنَّ الحكم بعدم فرض تحقّقه، لكن لضعفه لا يعتنى به، كما أنَّ الشكّ في</w:t>
      </w:r>
    </w:p>
    <w:p>
      <w:pPr>
        <w:pStyle w:val="BookText"/>
        <w:rPr/>
      </w:pPr>
      <w:r>
        <w:rPr>
          <w:rFonts w:ascii="Amiri" w:hAnsi="Amiri" w:eastAsia="Amiri" w:cs="Amiri"/>
          <w:color w:val="111111"/>
          <w:sz w:val="28"/>
          <w:sz w:val="28"/>
          <w:szCs w:val="28"/>
          <w:rtl w:val="true"/>
          <w:lang w:bidi="ar-SA"/>
        </w:rPr>
        <w:t>الاستصحاب مفروض التحقّق، لكن لا يعتنى به، و لا ينقض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تنافي بين التعبّد بالمُضيّ؛ و عدم الاعتناء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مفاد الأدلّة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التعبّد بوجود المشكوك فيه، كما هو مفاد هذه الروايات، و لذا جمع بينهما في صحيحة حمّاد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ركعت أمضه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الفرق بين باب إفعال المُضيّ و مُجرّده </w:t>
      </w:r>
      <w:r>
        <w:rPr>
          <w:rStyle w:val="FootnoteAnchor"/>
          <w:rtl w:val="true"/>
        </w:rPr>
        <w:footnoteReference w:id="682"/>
      </w:r>
      <w:r>
        <w:rPr>
          <w:rFonts w:ascii="Amiri" w:hAnsi="Amiri" w:eastAsia="Amiri" w:cs="Amiri"/>
          <w:color w:val="111111"/>
          <w:sz w:val="28"/>
          <w:sz w:val="28"/>
          <w:szCs w:val="28"/>
          <w:rtl w:val="true"/>
          <w:lang w:bidi="ar-SA"/>
        </w:rPr>
        <w:t xml:space="preserve">بعيد في المقام، و إن يظهر من اللغة أنَّ الإمضاء بمعنى الإنفاذ، و المُضيّ بمعنى الذهاب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الأدلّة، و المُستفاد من جميعها أنَّ قاعدة التجاوز أصل شرعيّ تأسيسي تعبّدي، مفادها التعبّد بوجود 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أصل محرِز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بعد كون القاعدة أصلًا محرزاً هل تكون أصلًا محرزاً مُطلقاً، كالاستصحاب بناءً على كونه أصلًا محرزاً، فيكون مفادها تحقّق المشكوك فيه مُطلقاً، أو أصلًا محرزاً في موضوع خاصّ، و بعبارة اخرى تكون أصلًا محرِزاً حيثيّاً؟</w:t>
      </w:r>
    </w:p>
    <w:p>
      <w:pPr>
        <w:pStyle w:val="BookText"/>
        <w:rPr/>
      </w:pPr>
      <w:r>
        <w:rPr>
          <w:rFonts w:ascii="Amiri" w:hAnsi="Amiri" w:eastAsia="Amiri" w:cs="Amiri"/>
          <w:color w:val="111111"/>
          <w:sz w:val="28"/>
          <w:sz w:val="28"/>
          <w:szCs w:val="28"/>
          <w:rtl w:val="true"/>
          <w:lang w:bidi="ar-SA"/>
        </w:rPr>
        <w:t>و الفرق بين كونها أصلًا تعبّدياً محضاً من غير نظر إلى التعبّد بالوجود، و بين كونها أصلًا مُحرزاً واضح؛ فإنَّه على المُحرزيّة يترتّب عليها أثر الوجود، فلو شكّ في حال القنوت في إتيان السورة يتحقّق القِران بإتيان سورة اخرى بناءً على عدم كون القِران أمراً بسيطاً انتزاعيّاً، و بناءً على المُحرزيّة دون غيرها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الفرق بين المُحرزيّة المُطلقة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الأوّل يترتّب عليها آثار الوجود مُطلقاً، فلو شكّ بعد صلاة العصر في إتيان الظهر بنى على تحقّقه، و لا يجب إتيانه، و كذا لو شكّ في الوضوء بعد صلاة الظهر بنى على تحقّقه مُطلقاً، فيحكم بوجوده لسائر الامور المشروطة بالوضوء</w:t>
      </w:r>
      <w:r>
        <w:rPr>
          <w:rFonts w:eastAsia="Amiri" w:cs="Amiri" w:ascii="Amiri" w:hAnsi="Amiri"/>
          <w:color w:val="111111"/>
          <w:sz w:val="28"/>
          <w:szCs w:val="28"/>
          <w:rtl w:val="true"/>
          <w:lang w:bidi="ar-SA"/>
        </w:rPr>
        <w:t>.</w:t>
      </w:r>
      <w:bookmarkStart w:id="473" w:name="pg2245_13089"/>
    </w:p>
    <w:p>
      <w:pPr>
        <w:pStyle w:val="BookText"/>
        <w:rPr/>
      </w:pPr>
      <w:bookmarkEnd w:id="473"/>
      <w:r>
        <w:rPr>
          <w:rFonts w:ascii="Amiri" w:hAnsi="Amiri" w:eastAsia="Amiri" w:cs="Amiri"/>
          <w:color w:val="111111"/>
          <w:sz w:val="28"/>
          <w:sz w:val="28"/>
          <w:szCs w:val="28"/>
          <w:rtl w:val="true"/>
          <w:lang w:bidi="ar-SA"/>
        </w:rPr>
        <w:t>و أمّا بناءً على المُحرزيّة الحيثيّة فلا يترتّب على المشكوك فيه إلّا أثر التحقّق في الموضوع الخاصّ، و من الحيثيّة الخاصّة، فلا بدّ من ترتيب آثار وجود الظهر في المثال المُتقدّم من حيث اشتراط العصر بتقدّمه عليه، و ترتيب آثار وجود الوضوء من حيث اشتراط الصلاة التي شكّ بعدها فيه لا مُطلقاً، فيجب إتيان الظهر، و تحصيل الوضوء لسائر الامور المشروطة به</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1614225_3804643083"/>
      <w:bookmarkStart w:id="475" w:name="_Toc173"/>
      <w:bookmarkEnd w:id="474"/>
      <w:r>
        <w:rPr>
          <w:rtl w:val="true"/>
        </w:rPr>
        <w:t>أنَّ القاعدة أصل محرِز حيثيّ</w:t>
      </w:r>
      <w:bookmarkEnd w:id="475"/>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يُستفاد من مجموع الأدلّة أنَّ قاعدة الفراغ أصل تعبّدي محرِز، لكن في موضوع خاصّ، و بالنسبة إلى الأمر المتجاوز عنه لا مُطلقاً، أمّا كونها أصلًا؛ فلقصور الأدلّة عن إثبات الأماريّة كما عرفت، و أمّا كونه محرِزاً؛ فلدلالة كثير منها على التعبّد بثبوت المشكوك فيه، و أمّا عدم كونه محرِزاً مُطلقاً؛ فلقصورها عن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الشيخ الأعظم في المقام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معناه البناء على حصول المشكوك فيه، لكن بعنوانه الذي يتحقّق معه تجاوز المحلّ لا مُطلقاً</w:t>
      </w:r>
      <w:r>
        <w:rPr>
          <w:rStyle w:val="FootnoteAnchor"/>
          <w:rtl w:val="true"/>
        </w:rPr>
        <w:footnoteReference w:id="68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علم حال القاعدة؛ و أنّها أصل محرِز حيثيّ تعبّدي يعلم حال الشكّ في الشروط بالنسبة إلى الفراغ من المشروط، و قد اختلفت كلمات الأعلام فيه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شاملة بإطلاقها و عمومها للشروط بلا إشكال و لا ريب، لكن بالنسبة إلى المشروط الذي تجاوز عنه، لا مُطلقاً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إشكال في عدم الاعتناء بالشكّ في الشرط بعد الفراغ من المشروط، و إنّما</w:t>
      </w:r>
      <w:bookmarkStart w:id="476" w:name="pg2245_13090"/>
    </w:p>
    <w:p>
      <w:pPr>
        <w:pStyle w:val="BookText"/>
        <w:rPr/>
      </w:pPr>
      <w:bookmarkEnd w:id="476"/>
      <w:r>
        <w:rPr>
          <w:rFonts w:ascii="Amiri" w:hAnsi="Amiri" w:eastAsia="Amiri" w:cs="Amiri"/>
          <w:color w:val="111111"/>
          <w:sz w:val="28"/>
          <w:sz w:val="28"/>
          <w:szCs w:val="28"/>
          <w:rtl w:val="true"/>
          <w:lang w:bidi="ar-SA"/>
        </w:rPr>
        <w:t>الكلام في الشكّ الحادث بين العمل بالنسبة إلى الأجزاء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شرط يكون له محلّ شرعيّ، و يكون محلّه الشرعيّ قبل العمل فلا يعتنى بالشكّ فيه بين العمل؛ لصدق التجاوز و المُضيّ، دون ما لا يكون كذلك، فمثل الوضوء إذا قلنا بأنَّ محلّه الشرعيّ قبل العمل إمّا لدلالة الآية الشريفة</w:t>
      </w:r>
      <w:r>
        <w:rPr>
          <w:rStyle w:val="FootnoteAnchor"/>
          <w:rtl w:val="true"/>
        </w:rPr>
        <w:footnoteReference w:id="686"/>
      </w:r>
      <w:r>
        <w:rPr>
          <w:rFonts w:ascii="Amiri" w:hAnsi="Amiri" w:eastAsia="Amiri" w:cs="Amiri"/>
          <w:color w:val="111111"/>
          <w:sz w:val="28"/>
          <w:sz w:val="28"/>
          <w:szCs w:val="28"/>
          <w:rtl w:val="true"/>
          <w:lang w:bidi="ar-SA"/>
        </w:rPr>
        <w:t>، أو لدلالة بعض الأخبار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 الصلاة الوضوء</w:t>
      </w:r>
      <w:r>
        <w:rPr>
          <w:rFonts w:eastAsia="Amiri" w:cs="Amiri" w:ascii="Amiri" w:hAnsi="Amiri"/>
          <w:color w:val="111111"/>
          <w:sz w:val="28"/>
          <w:szCs w:val="28"/>
          <w:rtl w:val="true"/>
          <w:lang w:bidi="ar-SA"/>
        </w:rPr>
        <w:t>)</w:t>
      </w:r>
    </w:p>
    <w:p>
      <w:pPr>
        <w:pStyle w:val="BookText"/>
        <w:rPr/>
      </w:pPr>
      <w:r>
        <w:rPr>
          <w:rStyle w:val="FootnoteAnchor"/>
          <w:rtl w:val="true"/>
        </w:rPr>
        <w:footnoteReference w:id="687"/>
      </w:r>
      <w:r>
        <w:rPr>
          <w:rFonts w:ascii="Amiri" w:hAnsi="Amiri" w:eastAsia="Amiri" w:cs="Amiri"/>
          <w:color w:val="111111"/>
          <w:sz w:val="28"/>
          <w:sz w:val="28"/>
          <w:szCs w:val="28"/>
          <w:rtl w:val="true"/>
          <w:lang w:bidi="ar-SA"/>
        </w:rPr>
        <w:t>فعليه إذا عرض الشكّ فيه بعد الدخول في الصلاة يلغى الشكّ؛ لتجاوز محلّه بالنسبة إلى الصلاة التي اشتغل بها لا غيرها</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كون المحلّ الشرعيّ للوضوء ما ذكر إشكال و منع؛ لمنع دلالة الآية إلّا على الإرشاد لاشتراط الصلاة بالوضوء، و كذا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الاستقبال و الستر و أمثالهما ممّا ليس لها محلّ شرعيّ، بل تكون شروطاً مُعتبرة فيها، و لكنّ العقل يحكم بلزوم إحرازها قبل الصلاة، و ليس للشارع حكم من هذه الجهة يكون الشكّ فيها غير مشمول لأدلّة التجاوز؛ لعدم تجاوز محلّها بالنسبة إلى الأجزاء الآتية</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1614227_3804643083"/>
      <w:bookmarkStart w:id="478" w:name="_Toc174"/>
      <w:bookmarkEnd w:id="477"/>
      <w:r>
        <w:rPr>
          <w:rtl w:val="true"/>
        </w:rPr>
        <w:t>تنبيه</w:t>
      </w:r>
      <w:bookmarkEnd w:id="47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أفرد الشيخ الأعظم قدس سره الشكّ في صحّة المأتيّ به عن الشكّ في الشرط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في الشكّ في الصحّة ما لا يرجع فيه الشكّ إلى الشكّ في ترك ما يعتبر في الصحّة، و مثّل له بالشكّ في الموالاة في حروف الكلمة أو كلمات الآية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الفرق بين الموضع الخامس و السادس اللذين جعلهما عنوانين ليس باختصاص الكلام في الأوّل بالشروط الشرعيّة، و في الثاني بالشروط العقليّة كما قيل؛ لمخالفته للتمثيل بالموالاة لكلمات الآية، فإنَّه بإطلاقه يشمل الموالاة العرفيّة المُعتبرة شرعاً، بل الموالاة الماحي تركها للصورة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الموالاة في كلمات الآية أيضاً لا يبعد أن تكون ممّا اعتبره الشارع؛ لأنَّ الأمر بالقراءة يدعو إلى إيجاد ما هو قراءة عُرفاً، و هي لا تتحقّق إلّا بإتيانها على النحو المُتعارف، و هذا ليس من الأمر العقليّ المحض، كإحراز الستر قبل الصلاة مُقدّمة لتحقّق أوّل الجزء مع الستر؛ فإنَّ هذه المُقدّمة لم يتعلّق بها غرض و أمر، بخلاف الأمر إلى القراءة و ذكر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الفرق الذي يمكن أن يكون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الشرائط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لها نحو وجود مُستقلّ، كالطهارة و الستر و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تكون كذلك، كالمُوالاة في حروف الكلمة و كلمات الآية؛ فإنَّها لا تكون موجودة إلّا بنفس الكلمة و الآية، و ليس لها وجود استقلاليّ، فلا يشملها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ممّا قد مضى</w:t>
      </w:r>
    </w:p>
    <w:p>
      <w:pPr>
        <w:pStyle w:val="BookText"/>
        <w:rPr/>
      </w:pPr>
      <w:r>
        <w:rPr>
          <w:rFonts w:ascii="Amiri" w:hAnsi="Amiri" w:eastAsia="Amiri" w:cs="Amiri"/>
          <w:color w:val="111111"/>
          <w:sz w:val="28"/>
          <w:sz w:val="28"/>
          <w:szCs w:val="28"/>
          <w:rtl w:val="true"/>
          <w:lang w:bidi="ar-SA"/>
        </w:rPr>
        <w:t>و لا سائر العناوين المأخوذة في الأدلّة، بخلاف الشروط التي من قبيل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وجّه به كلامه بعضُ المُحقّقين، و قد جعل من قبيل ما ذكره في المقام الشكّ في إطلاق الماء و إضافته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اعتبره الشارع في الصلاة و يكون تحت تصرّفه و جعله هو كون الصلاة مُتقيّدة بالطهارة أو الستر أو القبلة، أو كون المُصلّي حال صلاته طاهراً مُتستّراً مُستقبل القبلة، و هذه الامور من الانتزاعيّات أيضاً، و يكون وجودها بعين منشأ انتزاعها</w:t>
      </w:r>
      <w:bookmarkStart w:id="479" w:name="pg2245_13092"/>
    </w:p>
    <w:p>
      <w:pPr>
        <w:pStyle w:val="BookText"/>
        <w:rPr/>
      </w:pPr>
      <w:bookmarkEnd w:id="479"/>
      <w:r>
        <w:rPr>
          <w:rFonts w:ascii="Amiri" w:hAnsi="Amiri" w:eastAsia="Amiri" w:cs="Amiri"/>
          <w:color w:val="111111"/>
          <w:sz w:val="28"/>
          <w:sz w:val="28"/>
          <w:szCs w:val="28"/>
          <w:rtl w:val="true"/>
          <w:lang w:bidi="ar-SA"/>
        </w:rPr>
        <w:t>كالموالاة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تسليم ما ذكره من الفرق أنَّ دعوى عدم شمول الأدلّة لمثل الامور الانتزاعيّة ممنوعة جدّاً، مع كونها مُعتبرة في الصلاة، مأخوذة موضوعاً للحكم تكون مُتعلّقة للشكّ، فهل مثل الموالاة ليس بشي‌ء عرفاً أو عقلًا، أم أنَّ الشي‌ء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في الأدلّة جُعلا مرآة للأشياء خاصّة، مع أنَّه خلاف التحقيق و الواقع في باب الإطلاقات، أم أنّهما مُنصرفان عن مثل الموالاة، مع أنَّه لا منشأ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شمول الأدلّة و إطلاقها لمطلق الشرائط، و كذا الكلام في مثل الشكّ في إطلاق الماء و إضافته بعد الوضوء؛ لشمول مثل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شكّ يَعْرض المُكلّف بعد الوضوء</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614229_3804643083"/>
      <w:bookmarkStart w:id="481" w:name="_Toc175"/>
      <w:bookmarkEnd w:id="480"/>
      <w:r>
        <w:rPr>
          <w:rtl w:val="true"/>
        </w:rPr>
        <w:t>الأمر الثامن أنحاء الشكوك العارضة للمُكلّف</w:t>
      </w:r>
      <w:bookmarkEnd w:id="481"/>
    </w:p>
    <w:p>
      <w:pPr>
        <w:pStyle w:val="Heading5"/>
        <w:numPr>
          <w:ilvl w:val="4"/>
          <w:numId w:val="1"/>
        </w:numPr>
        <w:rPr/>
      </w:pPr>
      <w:bookmarkStart w:id="482" w:name="__RefHeading___Toc1614231_3804643083"/>
      <w:bookmarkStart w:id="483" w:name="_Toc176"/>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يتصوّر الشكّ بعد التجاوز على أنحاء كثيرة، نتعرّض لمهمّاتها، و يتّضح حال غيرها في ضمن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الطارئ بواسطة الغفلة عن صورة العمل، و هو تارة يكون مع العلم بالحكم و الموضوع؛ بحيث يكون الترك على فرضه مُستند للسهو و الغفلة، كمن شكّ في السجود أو الركوع أو غيرهما لاحتمال تركهما سهواً مع العلم بهما، و تارة يكون مع الجهل بالحكم أو الموضوع أو كليهما، و هذا على قسمين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اعتقد المُكلّف ضدّ الحكم أو الموضوع؛ بحيث لو فرض مُصادفة</w:t>
      </w:r>
    </w:p>
    <w:p>
      <w:pPr>
        <w:pStyle w:val="BookText"/>
        <w:rPr/>
      </w:pPr>
      <w:r>
        <w:rPr>
          <w:rFonts w:ascii="Amiri" w:hAnsi="Amiri" w:eastAsia="Amiri" w:cs="Amiri"/>
          <w:color w:val="111111"/>
          <w:sz w:val="28"/>
          <w:sz w:val="28"/>
          <w:szCs w:val="28"/>
          <w:rtl w:val="true"/>
          <w:lang w:bidi="ar-SA"/>
        </w:rPr>
        <w:t>المأتيّ به للواقع كان عن سهو و غفلة، كما لو اعتقد المُسافر وجوب الإتمام عليه، فصلّى و احتمل الإتيان قصراً سهواً أو نسياناً فصادف الواقع، أو اعتقد المسافة دون المسافة، و احتمل الإتيان قصراً سهواً أو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كذلك، كما لو اعتقد المُسافر كونه مُخيّراً بين القصر و الإتمام، فصلّى و احتمل الإتيان قصراً من باب الصدفة، أو كان بين يديه مائعان يعتقد كونهما ماءً مُطلقاً، و كان أحدهما المُعيّن مُضافاً، ثمّ بعد الوضوء شكّ في صحّته؛ لأجل الشكّ في وضوئه بالماء 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الروايات كموثّقة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w:t>
      </w:r>
    </w:p>
    <w:p>
      <w:pPr>
        <w:pStyle w:val="BookText"/>
        <w:rPr/>
      </w:pPr>
      <w:r>
        <w:rPr>
          <w:rStyle w:val="FootnoteAnchor"/>
          <w:rtl w:val="true"/>
        </w:rPr>
        <w:footnoteReference w:id="691"/>
      </w:r>
      <w:r>
        <w:rPr>
          <w:rFonts w:ascii="Amiri" w:hAnsi="Amiri" w:eastAsia="Amiri" w:cs="Amiri"/>
          <w:color w:val="111111"/>
          <w:sz w:val="28"/>
          <w:sz w:val="28"/>
          <w:szCs w:val="28"/>
          <w:rtl w:val="true"/>
          <w:lang w:bidi="ar-SA"/>
        </w:rPr>
        <w:t>و غيرها بإطلاقها شاملة لجميع الصور المُتقدّمة؟ أو مُنصرفة إلى القسم الأوّل فقط؛ أي ما يكون الترك مُستنداً إلى السهو أو الغفلة مع العلم بالحكم و الموضوع؟</w:t>
      </w:r>
    </w:p>
    <w:p>
      <w:pPr>
        <w:pStyle w:val="BookText"/>
        <w:rPr/>
      </w:pPr>
      <w:r>
        <w:rPr>
          <w:rFonts w:ascii="Amiri" w:hAnsi="Amiri" w:eastAsia="Amiri" w:cs="Amiri"/>
          <w:color w:val="111111"/>
          <w:sz w:val="28"/>
          <w:sz w:val="28"/>
          <w:szCs w:val="28"/>
          <w:rtl w:val="true"/>
          <w:lang w:bidi="ar-SA"/>
        </w:rPr>
        <w:t>أو مُنصرفة عن القسم الأوّل من قسمي الجهل بالحكم أو الموضوع؛ أي ما كان الإتيان بالواقع مُستنداً إلى السهو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إطلاق الأدلّة، هل يكون 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w:t>
      </w:r>
      <w:r>
        <w:rPr>
          <w:rFonts w:eastAsia="Amiri" w:cs="Amiri" w:ascii="Amiri" w:hAnsi="Amiri"/>
          <w:color w:val="111111"/>
          <w:sz w:val="28"/>
          <w:szCs w:val="28"/>
          <w:rtl w:val="true"/>
          <w:lang w:bidi="ar-SA"/>
        </w:rPr>
        <w:t>)</w:t>
      </w:r>
    </w:p>
    <w:p>
      <w:pPr>
        <w:pStyle w:val="BookText"/>
        <w:rPr/>
      </w:pPr>
      <w:r>
        <w:rPr>
          <w:rStyle w:val="FootnoteAnchor"/>
          <w:rtl w:val="true"/>
        </w:rPr>
        <w:footnoteReference w:id="69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حين انصرافه أقرب إلى الحقّ</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3"/>
      </w:r>
      <w:r>
        <w:rPr>
          <w:rFonts w:ascii="Amiri" w:hAnsi="Amiri" w:eastAsia="Amiri" w:cs="Amiri"/>
          <w:color w:val="111111"/>
          <w:sz w:val="28"/>
          <w:sz w:val="28"/>
          <w:szCs w:val="28"/>
          <w:rtl w:val="true"/>
          <w:lang w:bidi="ar-SA"/>
        </w:rPr>
        <w:t>مُقيّداً لها أو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الانصراف إلى القسم الأوّل ليست ببعيدة؛ و ذلك لأنَّ ارتكاز العُقلاء بأنَّ الفاعل المُريد لفراغ ذمّته إذا أراد إتيان شي‌ءٍ يأتي بما هو وظيفته في محلّه، و إن لم يصل إلى حدّ تطمئنّ النفس بأنَّ بناءهم على عدم الاعتناء بالشكّ، كما ذكرنا في بعض</w:t>
      </w:r>
    </w:p>
    <w:p>
      <w:pPr>
        <w:pStyle w:val="BookText"/>
        <w:rPr/>
      </w:pPr>
      <w:r>
        <w:rPr>
          <w:rFonts w:ascii="Amiri" w:hAnsi="Amiri" w:eastAsia="Amiri" w:cs="Amiri"/>
          <w:color w:val="111111"/>
          <w:sz w:val="28"/>
          <w:sz w:val="28"/>
          <w:szCs w:val="28"/>
          <w:rtl w:val="true"/>
          <w:lang w:bidi="ar-SA"/>
        </w:rPr>
        <w:t>المباحث السالفة</w:t>
      </w:r>
      <w:r>
        <w:rPr>
          <w:rStyle w:val="FootnoteAnchor"/>
          <w:rtl w:val="true"/>
        </w:rPr>
        <w:footnoteReference w:id="694"/>
      </w:r>
      <w:r>
        <w:rPr>
          <w:rFonts w:ascii="Amiri" w:hAnsi="Amiri" w:eastAsia="Amiri" w:cs="Amiri"/>
          <w:color w:val="111111"/>
          <w:sz w:val="28"/>
          <w:sz w:val="28"/>
          <w:szCs w:val="28"/>
          <w:rtl w:val="true"/>
          <w:lang w:bidi="ar-SA"/>
        </w:rPr>
        <w:t>، لكن يمكن أن يُدّعى أنَّ هذا الارتكاز صار موجباً لانصراف الأدلّة إلى ما يكون مرتكزاً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أنَّ الأحكام الصادرة من الشارع قد تكون تعبّدية محضة؛ لا طريق للعُقلاء لفهم سرّها، ككثير من التعبّديات، و قد تكون إرشاداً إلى طريقة العُقلاء، كأدلّة أخبار الثقة أو اليد، و قد تكون معنى متوسّطاً بينهما؛ أي لا تكون تعبّدية محضة لا يعلم العُقلاء سرّها أصلًا، و لا تكون إرشاديّة إلى ما لديهم؛ لعدم الحكم الجزميّ بينهم، لكن تكون من التعبّديات التي يكون للعقل إليها سبيل، و يكون في ارتكاز العُقلاء ما يناسبها، و هذا الارتكاز و المُناسبات المعلومة عند العُقلاء قد توجب الانصراف إلى ما ارتكز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من هذا القبيل، فإذا سمع العُقلاء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w:t>
      </w:r>
    </w:p>
    <w:p>
      <w:pPr>
        <w:pStyle w:val="BookText"/>
        <w:rPr/>
      </w:pPr>
      <w:r>
        <w:rPr>
          <w:rStyle w:val="FootnoteAnchor"/>
          <w:rtl w:val="true"/>
        </w:rPr>
        <w:footnoteReference w:id="695"/>
      </w:r>
      <w:r>
        <w:rPr>
          <w:rFonts w:ascii="Amiri" w:hAnsi="Amiri" w:eastAsia="Amiri" w:cs="Amiri"/>
          <w:color w:val="111111"/>
          <w:sz w:val="28"/>
          <w:sz w:val="28"/>
          <w:szCs w:val="28"/>
          <w:rtl w:val="true"/>
          <w:lang w:bidi="ar-SA"/>
        </w:rPr>
        <w:t>يصير الأمر الارتكازيّ موجباً لانصرافه إلى ذلك، و يمنع عن فهم الإطلاق، فيكون كالقرينة الحافّة بالكلام أو ما يصلح للقرينيّة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الناظر في الروايات يرى أنَّ السؤال و الجواب بين الرواة و الأئمّة عليهم السلام كانا ممحّضين في هذا القسم، و لا يكون الجهل بالحكم أو الموضوع في ذهنهم، فارجع إلى الروايات حتّى يتّضح صدق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الشواهد الموجودة في الروايات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حين انصرف أقرب إلى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ركعت أمضه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 الانصراف غير مُجازف، و دعوى الإطلاق بالنسبة إلى جميع الصور في غاية الإشكال</w:t>
      </w:r>
      <w:r>
        <w:rPr>
          <w:rFonts w:eastAsia="Amiri" w:cs="Amiri" w:ascii="Amiri" w:hAnsi="Amiri"/>
          <w:color w:val="111111"/>
          <w:sz w:val="28"/>
          <w:szCs w:val="28"/>
          <w:rtl w:val="true"/>
          <w:lang w:bidi="ar-SA"/>
        </w:rPr>
        <w:t>.</w:t>
      </w:r>
      <w:bookmarkStart w:id="484" w:name="pg2245_13095"/>
    </w:p>
    <w:p>
      <w:pPr>
        <w:pStyle w:val="BookText"/>
        <w:rPr/>
      </w:pPr>
      <w:bookmarkEnd w:id="484"/>
      <w:r>
        <w:rPr>
          <w:rFonts w:ascii="Amiri" w:hAnsi="Amiri" w:eastAsia="Amiri" w:cs="Amiri"/>
          <w:color w:val="111111"/>
          <w:sz w:val="28"/>
          <w:sz w:val="28"/>
          <w:szCs w:val="28"/>
          <w:rtl w:val="true"/>
          <w:lang w:bidi="ar-SA"/>
        </w:rPr>
        <w:t>ثمّ على فرض إطلاق الأدلّة يشكل رفع اليد عنه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استفادة العلّية للمجعول، و لا الانحصار منه؛ لإمكان كونه علّة للتشريع فلا يجوز رفع اليد عنه لأجله، فتدبّر</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1614233_3804643083"/>
      <w:bookmarkStart w:id="486" w:name="_Toc177"/>
      <w:bookmarkEnd w:id="485"/>
      <w:r>
        <w:rPr>
          <w:rtl w:val="true"/>
        </w:rPr>
        <w:t>كلام بعض المُحقّقين و ما يرد عليه</w:t>
      </w:r>
      <w:bookmarkEnd w:id="486"/>
    </w:p>
    <w:p>
      <w:pPr>
        <w:pStyle w:val="BookText"/>
        <w:rPr/>
      </w:pPr>
      <w:r>
        <w:rPr>
          <w:rFonts w:ascii="Amiri" w:hAnsi="Amiri" w:eastAsia="Amiri" w:cs="Amiri"/>
          <w:color w:val="111111"/>
          <w:sz w:val="28"/>
          <w:sz w:val="28"/>
          <w:szCs w:val="28"/>
          <w:rtl w:val="true"/>
          <w:lang w:bidi="ar-SA"/>
        </w:rPr>
        <w:t>ثمّ إنَّ بعض المُحقّقين ادّعى الإطلاق لجميع صور الشكّ، و قال في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العُمدة في حمل الأعمال الماضية الصادرة من المُكلّف على الصحيح هي السيرة القطعيّة، و إنَّه لو لا ذلك لاختلّ نظام المعاش و المعاد، و لم يقم للمُسلمين سوق، فضلًا عن لزوم العسر و الحرج المنفيّين في الشريعة؛ إذ ما من أحد إذا التفت إلى أعماله الصادرة منه في الأعصار المُتقدّمة من عباداته و معاملاته إلّا و يشكّ في كثير منها؛ لأجل الجهل بأحكامها، و اقترانها بأُمور لو كان مُلتفتاً إليها لكان شاكّاً، فلو لم يحمل عملهم على الصحيح، و بني على الاعتناء بالشكّ الناشئ من الجهل بالحكم و نظائره لضاق عليهم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 و إن كان لبّياً يشكل استفادة عموم المُدّعى منه، إلّا أنَّه يعلم منه عدم انحصار الحمل على الصحيح بظاهر الحال، فلا يجوز رفع اليد عن الأخبار المُطلقة بسبب التعليل المُستفاد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جعله قرينة على التصرّف في سائر الأخبار فرع استفادة العلّية المُنحصرة منه، و المفروض عدم الانحصار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دلالته عليه في حدّ ذاته لا تخلو عن تأمّل، فلا ينبغي الاستشكال في جريان القاعدة في جميع موارد الشكّ </w:t>
      </w:r>
      <w:r>
        <w:rPr>
          <w:rStyle w:val="FootnoteAnchor"/>
          <w:rtl w:val="true"/>
        </w:rPr>
        <w:footnoteReference w:id="69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اتضح ممّا ذكرنا النظر فيما أفاد، لكن لا بدّ من رفع شبهته و حسم مادّتها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قد يعلم حاله حين العمل؛ أي يعلم في زمان الشكّ أنَّه كان عالماً بالحكم و الموضوع، و يكون شكّه مُتمحّضاً في أنَّه هل ترك الجزء نسياناً أو سهواً أم لا؟</w:t>
      </w:r>
    </w:p>
    <w:p>
      <w:pPr>
        <w:pStyle w:val="BookText"/>
        <w:rPr/>
      </w:pPr>
      <w:r>
        <w:rPr>
          <w:rFonts w:ascii="Amiri" w:hAnsi="Amiri" w:eastAsia="Amiri" w:cs="Amiri"/>
          <w:color w:val="111111"/>
          <w:sz w:val="28"/>
          <w:sz w:val="28"/>
          <w:szCs w:val="28"/>
          <w:rtl w:val="true"/>
          <w:lang w:bidi="ar-SA"/>
        </w:rPr>
        <w:t>أو يعلم أنَّه كان جاهلًا بهما على النحو الأوّل من النحوين المُتقدّمين في صدر المبحث؛ بحيث كان الإتيان بالمأمور به على وجهه من باب السهو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النحو الثاني منهما؛ بحيث كان الإتيان به على وجهه من باب الصدفة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 يعلم حاله أصلًا؛ بحيث يحتمل أن يكون تركه مُستنداً إلى السهو و النسيان، مع العلم بالموضوع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الإتيان من باب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من باب الصدفة، و يعلم حال الصور الاخرى من ذكر تلك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بنينا على انصراف أدلّة التجاوز إلى الشكّ في أنَّه ترك سهواً و نسياناً، مع العلم بالموضوع و الحكم، كما هو الحقّ، فحينئذٍ لو علم المُكلّف حاله فإن كان شكّه من قبيل ذلك لا يعتني به، و إن كان من غيره يعتني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علم المُكلّف بالنسبة إلى الأعمال السابقة في غاية 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أنَّه لا يوجد مُكلّف يعلم حاله تفصيلًا و بجميع خصوصيّتها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فنوع المُكلّفين لا يعلمون أنَّ تركهم على فرضه كان مُستنداً إلى السهو أو الجهل بأحد قسميه، فالشكّ في الأعمال السابقة كثير واقع من نوع المُكلّفين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تشخيص الحال السابقة، و أنه كان عالماً أو لا، و على الثاني كان جهله بالحكم أو الموضوع، و على أيّ نحوٍ من أنحاء الجهل في غاية الندرة، فيحتمل نوع</w:t>
      </w:r>
      <w:bookmarkStart w:id="487" w:name="pg2245_13097"/>
    </w:p>
    <w:p>
      <w:pPr>
        <w:pStyle w:val="BookText"/>
        <w:rPr/>
      </w:pPr>
      <w:bookmarkEnd w:id="487"/>
      <w:r>
        <w:rPr>
          <w:rFonts w:ascii="Amiri" w:hAnsi="Amiri" w:eastAsia="Amiri" w:cs="Amiri"/>
          <w:color w:val="111111"/>
          <w:sz w:val="28"/>
          <w:sz w:val="28"/>
          <w:szCs w:val="28"/>
          <w:rtl w:val="true"/>
          <w:lang w:bidi="ar-SA"/>
        </w:rPr>
        <w:t>المُكلّفين أن يكون تركهم مُستنداً إلى السهو، حتّى يكون شكّهم مشمولًا لقاعدة التجاوز أو لا حتّى لا يكون مشمولًا لها، فلو حكمنا بلزوم إعادة الأعمال السابقة من العبادات و المُعاملات يلزم اختلال النظام معاشاً و معاداً، و لم يقم للمُسلمين سوق، كما قرّره المُحقّق المُتقدّم، لكنّ مُقتضى القواعد خلاف ذلك</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1614235_3804643083"/>
      <w:bookmarkStart w:id="489" w:name="_Toc178"/>
      <w:bookmarkEnd w:id="488"/>
      <w:r>
        <w:rPr>
          <w:rtl w:val="true"/>
        </w:rPr>
        <w:t>حال الشكّ في العبادات</w:t>
      </w:r>
      <w:bookmarkEnd w:id="489"/>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الأعمال السالفة إمّا أن تكون من قبيل العبادات، أو من قبيل المُعاملات، و العبادات إمّا موقّتات، كالصلاة و الصوم،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أنَّ غير المُوقّتات كالزكاة و الخمس و أمثالهما يكون الشكّ فيها نادراً جدّاً، فلا يلزم من الاعتناء بالشكّ فيها اختلال النظام، و لا العسر و الحرج، و لا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 المُوقّتات من قبيل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لكنّ الصوم أيضاً يكون الشكّ فيه نادراً، فالعُمدة هي الشكوك الصلاتيّة، و الشكّ فيها لا يوجب القضاء؛ لأنَّ القضاء يكون بأمرٍ جديدٍ، فلو شكَّ المُكلّف في صحّة صلاته السابقة، و لا يعلم حاله، و احتمل أن يكون الترك مُستنداً إلى السهو حتّى تشمله قاعدة التجاوز، أو لا حتّى لا تشمله، يكون التمسّك بكلّ من دليل القاعدة و الاستصحاب غير جائز؛ لأنَّه من التمسّك بالعامّ في الشبهة المصداقيّة، و الأصل البراءة من القضاء</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الجهل بالحكم بالنسبة إلى الأركان نادر جدّاً أو غير مُتحقّق، و في غير الأركان و إن كان كثيراً، لكنّ المُكلّف لا يعلم حاله، و أنَّ تركه على فرضه يكون عن جهل أو نسيان كما عرفت</w:t>
      </w:r>
      <w:r>
        <w:rPr>
          <w:rFonts w:eastAsia="Amiri" w:cs="Amiri" w:ascii="Amiri" w:hAnsi="Amiri"/>
          <w:color w:val="111111"/>
          <w:sz w:val="28"/>
          <w:szCs w:val="28"/>
          <w:rtl w:val="true"/>
          <w:lang w:bidi="ar-SA"/>
        </w:rPr>
        <w:t>.</w:t>
      </w:r>
      <w:bookmarkStart w:id="490" w:name="pg2245_13098"/>
    </w:p>
    <w:p>
      <w:pPr>
        <w:pStyle w:val="BookText"/>
        <w:rPr/>
      </w:pPr>
      <w:bookmarkEnd w:id="490"/>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بشمول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w:t>
      </w:r>
    </w:p>
    <w:p>
      <w:pPr>
        <w:pStyle w:val="BookText"/>
        <w:rPr/>
      </w:pPr>
      <w:r>
        <w:rPr>
          <w:rStyle w:val="FootnoteAnchor"/>
          <w:rtl w:val="true"/>
        </w:rPr>
        <w:footnoteReference w:id="697"/>
      </w:r>
      <w:r>
        <w:rPr>
          <w:rFonts w:ascii="Amiri" w:hAnsi="Amiri" w:eastAsia="Amiri" w:cs="Amiri"/>
          <w:color w:val="111111"/>
          <w:sz w:val="28"/>
          <w:sz w:val="28"/>
          <w:szCs w:val="28"/>
          <w:rtl w:val="true"/>
          <w:lang w:bidi="ar-SA"/>
        </w:rPr>
        <w:t>للترك عن جهل، كما لا يبعد</w:t>
      </w:r>
      <w:r>
        <w:rPr>
          <w:rStyle w:val="FootnoteAnchor"/>
          <w:rtl w:val="true"/>
        </w:rPr>
        <w:footnoteReference w:id="698"/>
      </w:r>
      <w:r>
        <w:rPr>
          <w:rFonts w:ascii="Amiri" w:hAnsi="Amiri" w:eastAsia="Amiri" w:cs="Amiri"/>
          <w:color w:val="111111"/>
          <w:sz w:val="28"/>
          <w:sz w:val="28"/>
          <w:szCs w:val="28"/>
          <w:rtl w:val="true"/>
          <w:lang w:bidi="ar-SA"/>
        </w:rPr>
        <w:t xml:space="preserve">، فمع كون الترك محقّقاً لا تجب الإعادة، فضلًا عن صورة عدم معلوميّته، و إن قلنا بعدم شموله للترك عن جهل لما كان حال المُكلّف مجهولًا يحتمل أن يكون مشمولًا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لاحتمال أن يكون تركه عن سهو، فمع العلم بالترك حينئذٍ أيضاً يشكّ في وجوب القضاء عليه، و الأصل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لا يثبت الفوت </w:t>
      </w:r>
      <w:r>
        <w:rPr>
          <w:rStyle w:val="FootnoteAnchor"/>
          <w:rtl w:val="true"/>
        </w:rPr>
        <w:footnoteReference w:id="699"/>
      </w:r>
      <w:r>
        <w:rPr>
          <w:rFonts w:ascii="Amiri" w:hAnsi="Amiri" w:eastAsia="Amiri" w:cs="Amiri"/>
          <w:color w:val="111111"/>
          <w:sz w:val="28"/>
          <w:sz w:val="28"/>
          <w:szCs w:val="28"/>
          <w:rtl w:val="true"/>
          <w:lang w:bidi="ar-SA"/>
        </w:rPr>
        <w:t>، فلا 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الشاكّ في جميع أعماله السابقة أو كثير منها يكون من كثير الشكّ، و لا يجب عليه الاعتناء بشكّه، تأمّل، و لا يلزم منه عدم الاعتناء بالشكّ في الأعمال الحاضرة إذا لم يكن بالنسبة إليها كثير 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حال العبادات</w:t>
      </w:r>
      <w:r>
        <w:rPr>
          <w:rFonts w:eastAsia="IRNazanin" w:cs="IRNazanin"/>
          <w:color w:val="111111"/>
          <w:sz w:val="28"/>
          <w:szCs w:val="28"/>
          <w:rtl w:val="true"/>
          <w:lang w:bidi="fa-IR"/>
        </w:rPr>
        <w:t>.</w:t>
      </w:r>
    </w:p>
    <w:p>
      <w:pPr>
        <w:pStyle w:val="Heading5"/>
        <w:numPr>
          <w:ilvl w:val="4"/>
          <w:numId w:val="1"/>
        </w:numPr>
        <w:rPr/>
      </w:pPr>
      <w:bookmarkStart w:id="491" w:name="__RefHeading___Toc1614237_3804643083"/>
      <w:bookmarkStart w:id="492" w:name="_Toc179"/>
      <w:bookmarkEnd w:id="491"/>
      <w:r>
        <w:rPr>
          <w:rtl w:val="true"/>
        </w:rPr>
        <w:t>حل الشكّ في المعاملات</w:t>
      </w:r>
      <w:bookmarkEnd w:id="492"/>
    </w:p>
    <w:p>
      <w:pPr>
        <w:pStyle w:val="BookText"/>
        <w:rPr/>
      </w:pPr>
      <w:r>
        <w:rPr>
          <w:rFonts w:ascii="Amiri" w:hAnsi="Amiri" w:eastAsia="Amiri" w:cs="Amiri"/>
          <w:color w:val="111111"/>
          <w:sz w:val="28"/>
          <w:sz w:val="28"/>
          <w:szCs w:val="28"/>
          <w:rtl w:val="true"/>
          <w:lang w:bidi="ar-SA"/>
        </w:rPr>
        <w:t>و أمّا في المُعاملات السابقة المشكوك فيها كالبيع و الإجارة و الصلح و أمثالها، فإمّا أن تكون الأعيان المُتعلّقة للمُعاملة موجودة، أو تالفة بتلف سماويّ، أو بإتلاف من المُتعاملين، و على أيّ حال لا يجري استصحاب عدم تحقّق العقد الجامع للشرائط بنحو الكون الناقص؛ لعدم الحالة السابقة، و لا بنحو الكون التامّ؛ لعدم ترتّب الأثر عليه إلّا بالأصل المُثبت، تأمّل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 جريانه يكون حاله حال أصالة عدم النقل، أو أصالة بقاء العين على</w:t>
      </w:r>
    </w:p>
    <w:p>
      <w:pPr>
        <w:pStyle w:val="BookText"/>
        <w:rPr/>
      </w:pPr>
      <w:r>
        <w:rPr>
          <w:rFonts w:ascii="Amiri" w:hAnsi="Amiri" w:eastAsia="Amiri" w:cs="Amiri"/>
          <w:color w:val="111111"/>
          <w:sz w:val="28"/>
          <w:sz w:val="28"/>
          <w:szCs w:val="28"/>
          <w:rtl w:val="true"/>
          <w:lang w:bidi="ar-SA"/>
        </w:rPr>
        <w:t>ملك صاحبها، حيث إنَّه مع جريانهما في حدّ ذاتهما غير جاريين فيما نحن فيه؛ لأنَّ المُتعاملين كما عرفت في العبادات غير عالمين حين الشكّ بحالهما حال العقد، و يحتمل كلّ منهما أن يكون تركه الشرائط المُقرّرة على فرضه عن سهو مع العلم بالحكم و الموضوع، حتّى يكون شكّه مجرى القاعدة، و لا يجري الاستصحاب أوّلًا، فالمورد من الشبهة المصداقيّة للدليلين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العين المُتعلّقة للمعاملة موجودة، مُردّدة بين كونها لنفسه أو لصاحبه، لا يبعد جريان أصالة الحلّ، 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في الأموال الاحتياط</w:t>
      </w:r>
      <w:r>
        <w:rPr>
          <w:rStyle w:val="FootnoteAnchor"/>
          <w:rtl w:val="true"/>
        </w:rPr>
        <w:footnoteReference w:id="700"/>
      </w:r>
      <w:r>
        <w:rPr>
          <w:rFonts w:ascii="Amiri" w:hAnsi="Amiri" w:eastAsia="Amiri" w:cs="Amiri"/>
          <w:color w:val="111111"/>
          <w:sz w:val="28"/>
          <w:sz w:val="28"/>
          <w:szCs w:val="28"/>
          <w:rtl w:val="true"/>
          <w:lang w:bidi="ar-SA"/>
        </w:rPr>
        <w:t>لا دليل عليه يمكن التمسك به في مثل المورد، و إن كانت تالفة فالأصل العقليّ و الشرعيّ هو البراءة عن الضمان بعد عدم جريان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أتلف </w:t>
      </w:r>
      <w:r>
        <w:rPr>
          <w:rFonts w:eastAsia="IRNazanin" w:cs="IRNazanin"/>
          <w:color w:val="111111"/>
          <w:sz w:val="28"/>
          <w:szCs w:val="28"/>
          <w:rtl w:val="true"/>
          <w:lang w:bidi="fa-IR"/>
        </w:rPr>
        <w:t>..)</w:t>
      </w:r>
    </w:p>
    <w:p>
      <w:pPr>
        <w:pStyle w:val="BookText"/>
        <w:rPr/>
      </w:pPr>
      <w:r>
        <w:rPr>
          <w:rStyle w:val="FootnoteAnchor"/>
          <w:rtl w:val="true"/>
        </w:rPr>
        <w:footnoteReference w:id="7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w:t>
      </w:r>
    </w:p>
    <w:p>
      <w:pPr>
        <w:pStyle w:val="BookText"/>
        <w:rPr/>
      </w:pPr>
      <w:r>
        <w:rPr>
          <w:rStyle w:val="FootnoteAnchor"/>
          <w:rtl w:val="true"/>
        </w:rPr>
        <w:footnoteReference w:id="702"/>
      </w:r>
      <w:r>
        <w:rPr>
          <w:rFonts w:ascii="Amiri" w:hAnsi="Amiri" w:eastAsia="Amiri" w:cs="Amiri"/>
          <w:color w:val="111111"/>
          <w:sz w:val="28"/>
          <w:sz w:val="28"/>
          <w:szCs w:val="28"/>
          <w:rtl w:val="true"/>
          <w:lang w:bidi="ar-SA"/>
        </w:rPr>
        <w:t>لكون الشبهة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باب النكاح و الطلاق فالذي يسهّل الخطب فيهما أنَّ مجراهما غالباً بحيث يشذّ تخلّفه هو التعبير بالوكالة، و أصالة الصحّة في فعل الغير جارية في مثلها، كما سيأتي إن شاء اللَّه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انحصار جريان القاعدة بما كان الترك مُستنداً إلى السهو أو النسيان لا يلزم منه اختلال النظام، و لا العسر و الحرج، كما ادّعى المُحقّق المُتقدّم، و أمّا دعواه أنَّ بناء العُقلاء على عدم الاعتناء بمثل هذا الشكّ مُطلقاً فممنوعة كما ذكرنا سابقاً</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الشكّ الحاصل من احتمال الترك عمداً فقد ظهر حكمه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مساق الروايات هو اختصاص القاعدة بصورة الشكّ مع احتمال الترك السهويّ، لا العمدي،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ظاهره أنَّه لمّا كان أذكر يأتي به، لكنّه ليس في مقام التعبّد بوجود المشكوك فيه، و لو مع احتمال الترك العمديّ، و لا إطلاق فيه من هذه الجهة، بل عدم الترك عمداً مفروض بين السائل و المسئول عنه، فلا يُستفاد من الروايات إلّا الشكّ مع كون الترك، على فرضه مُستنداً إلى السهو و الخطأ و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الترك التعمّديّ ممّا لا يعتني به العُقلاء، فإنَّ العاقل المُريد لإبراء الذّمة لا يترك ما يعتبر في المأمور به عمداً، مع العلم بأنَّ تركه موجب للبطلان، بل الترك عمداً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التوجّه لكلّ الخصوصيّات حكماً و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مُراد الشيخ الأنصاريّ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الترك سهواً خلاف فرض الذكر، و عمداً خلاف إرادة الإبراء</w:t>
      </w:r>
      <w:r>
        <w:rPr>
          <w:rStyle w:val="FootnoteAnchor"/>
          <w:rtl w:val="true"/>
        </w:rPr>
        <w:footnoteReference w:id="705"/>
      </w:r>
      <w:r>
        <w:rPr>
          <w:rFonts w:ascii="Amiri" w:hAnsi="Amiri" w:eastAsia="Amiri" w:cs="Amiri"/>
          <w:color w:val="111111"/>
          <w:sz w:val="28"/>
          <w:sz w:val="28"/>
          <w:szCs w:val="28"/>
          <w:rtl w:val="true"/>
          <w:lang w:bidi="ar-SA"/>
        </w:rPr>
        <w:t>، فنفى الترك السهويّ بالقاعدة، و العمديّ بقاعدة عُقلائيّة، هي أنَّه خلاف إرادة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الشكّ الطارئ من احتمال وجود الحائل فلا يعتني به العُقلاء مُطلقاً، لا حال العمل، و لا قبله، و لا بعده، و بعض صوره مشمول للقاعدة أيضاً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الشكّ في حائليّة الموجود فلا شبهة في اعتناء العُقلاء به، و أمّا شمول القاعدة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احتمال الترك مُستنداً إلى الغفلة عن رفع الحائل و إيصال الماء إلى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فيه، كما أنَّه لا إشكال في عدم الشمول فيما إذا احتمل وصول الماء قهراً مع العلم بالغفلة عن رفعه حين العمل، و هي الصورة الثانية التي لم يكن غافلًا عن صورة العمل، و يظهر حال صورة تردّده بين الأمرين ممّا ذكرنا في صورة الجهل </w:t>
      </w:r>
      <w:r>
        <w:rPr>
          <w:rStyle w:val="FootnoteAnchor"/>
          <w:rtl w:val="true"/>
        </w:rPr>
        <w:footnoteReference w:id="706"/>
      </w:r>
      <w:r>
        <w:rPr>
          <w:rFonts w:ascii="Amiri" w:hAnsi="Amiri" w:eastAsia="Amiri" w:cs="Amiri"/>
          <w:color w:val="111111"/>
          <w:sz w:val="28"/>
          <w:sz w:val="28"/>
          <w:szCs w:val="28"/>
          <w:rtl w:val="true"/>
          <w:lang w:bidi="ar-SA"/>
        </w:rPr>
        <w:t>، و بالتأمّل فيما ذكرنا يظهر حال سائر صور الشكّ</w:t>
      </w:r>
      <w:r>
        <w:rPr>
          <w:rFonts w:eastAsia="Amiri" w:cs="Amiri" w:ascii="Amiri" w:hAnsi="Amiri"/>
          <w:color w:val="111111"/>
          <w:sz w:val="28"/>
          <w:szCs w:val="28"/>
          <w:rtl w:val="true"/>
          <w:lang w:bidi="ar-SA"/>
        </w:rPr>
        <w:t>.</w:t>
      </w:r>
      <w:bookmarkStart w:id="493" w:name="pg2245_13101"/>
    </w:p>
    <w:p>
      <w:pPr>
        <w:pStyle w:val="Heading4"/>
        <w:numPr>
          <w:ilvl w:val="3"/>
          <w:numId w:val="1"/>
        </w:numPr>
        <w:rPr/>
      </w:pPr>
      <w:bookmarkStart w:id="494" w:name="__RefHeading___Toc1614239_3804643083"/>
      <w:bookmarkStart w:id="495" w:name="_Toc180"/>
      <w:bookmarkEnd w:id="493"/>
      <w:bookmarkEnd w:id="494"/>
      <w:r>
        <w:rPr>
          <w:rtl w:val="true"/>
        </w:rPr>
        <w:t>الأمر التاسع اختصاص القاعدة بالشكّ الحادث</w:t>
      </w:r>
      <w:bookmarkEnd w:id="495"/>
    </w:p>
    <w:p>
      <w:pPr>
        <w:pStyle w:val="BookText"/>
        <w:rPr/>
      </w:pPr>
      <w:r>
        <w:rPr>
          <w:rFonts w:ascii="Amiri" w:hAnsi="Amiri" w:eastAsia="Amiri" w:cs="Amiri"/>
          <w:color w:val="111111"/>
          <w:sz w:val="28"/>
          <w:sz w:val="28"/>
          <w:szCs w:val="28"/>
          <w:rtl w:val="true"/>
          <w:lang w:bidi="ar-SA"/>
        </w:rPr>
        <w:t>الظاهر من أدلّة التجاوز أنَّ الشكّ الذي لا يعتنى به هو الشكّ الحادث بعد التجاوز، فلو كان باقياً من قبل لا يكون مشمولًا للأدلّة</w:t>
      </w:r>
      <w:r>
        <w:rPr>
          <w:rStyle w:val="FootnoteAnchor"/>
          <w:rtl w:val="true"/>
        </w:rPr>
        <w:footnoteReference w:id="707"/>
      </w:r>
      <w:r>
        <w:rPr>
          <w:rFonts w:ascii="Amiri" w:hAnsi="Amiri" w:eastAsia="Amiri" w:cs="Amiri"/>
          <w:color w:val="111111"/>
          <w:sz w:val="28"/>
          <w:sz w:val="28"/>
          <w:szCs w:val="28"/>
          <w:rtl w:val="true"/>
          <w:lang w:bidi="ar-SA"/>
        </w:rPr>
        <w:t>، و يتفرّع عليه أنَّه لو شكّ قبل العمل في الطهارة مع كونه مسبوقاً بالحدث، فغفل و دخل في العمل، ثمّ تنبّه، فإن احتمل بعد العمل حصول الطهارة بعد الشكّ و الغفلة قبل العمل، فلا إشكال في جريان القاعدة؛ لأنَّه شكّ حادث بعد العمل، و إن لم يحتمل فلا تجري؛ لأنَّه شكّ موجود في النفس، حاصل قبل العمل، و إن كان مغفولًا عنه، و مُقتضى قاعدة الاشتغال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يجري الاستصحاب في حال الغفلة عن الشكّ </w:t>
      </w:r>
      <w:r>
        <w:rPr>
          <w:rStyle w:val="FootnoteAnchor"/>
          <w:rtl w:val="true"/>
        </w:rPr>
        <w:footnoteReference w:id="708"/>
      </w:r>
      <w:r>
        <w:rPr>
          <w:rFonts w:ascii="Amiri" w:hAnsi="Amiri" w:eastAsia="Amiri" w:cs="Amiri"/>
          <w:color w:val="111111"/>
          <w:sz w:val="28"/>
          <w:sz w:val="28"/>
          <w:szCs w:val="28"/>
          <w:rtl w:val="true"/>
          <w:lang w:bidi="ar-SA"/>
        </w:rPr>
        <w:t>لأنَّ حُجيّة الاستصحاب مُتوقّفة على الشكّ الفعليّ الذي يكون مُلتفتاً إليه، ليكون الاستصحاب مُستنداً للفاعل في عمله، كما هو الشأن في كلّيّة الحُجج عقلًا، فلا يكون الاستصحاب حُجّة و جارياً في حال الغفلة عن الشكّ أو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الطهارة مع كونه عالماً بسبقها فصلّى، فزال العلم، يأتي فيه الوجهان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القاعدة مع احتماله بعد العمل إيجاد الطهارة قبل العمل في حال الشكّ في الحدث، و عدمه مع عدمه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يفصّل في المقامين بين ما إذا صار الشكّ مُذهلًا رأساً؛ بحيث يقال في الشكّ الحاصل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شكّ حادث، فيقال بجريان القاعدة، و عدم جريان الاستصحاب، و بين ما إذا غفل عن شكّه مع كونه موجوداً في</w:t>
      </w:r>
      <w:bookmarkStart w:id="496" w:name="pg2245_13102"/>
    </w:p>
    <w:p>
      <w:pPr>
        <w:pStyle w:val="BookText"/>
        <w:rPr/>
      </w:pPr>
      <w:bookmarkEnd w:id="496"/>
      <w:r>
        <w:rPr>
          <w:rFonts w:ascii="Amiri" w:hAnsi="Amiri" w:eastAsia="Amiri" w:cs="Amiri"/>
          <w:color w:val="111111"/>
          <w:sz w:val="28"/>
          <w:sz w:val="28"/>
          <w:szCs w:val="28"/>
          <w:rtl w:val="true"/>
          <w:lang w:bidi="ar-SA"/>
        </w:rPr>
        <w:t>خزانة النفس، نظير عدم العلم بالعلم، فيقال بعدم جريان القاعدة، و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النظر في كثير ممّا ذكره بعض أعاظم العصر رحمه اللَّه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 w:name="__RefHeading___Toc1614241_3804643083"/>
      <w:bookmarkStart w:id="498" w:name="_Toc181"/>
      <w:bookmarkEnd w:id="497"/>
      <w:r>
        <w:rPr>
          <w:rtl w:val="true"/>
        </w:rPr>
        <w:t>الأمر العاشر وجه تقدّمها على الاستصحاب</w:t>
      </w:r>
      <w:bookmarkEnd w:id="498"/>
    </w:p>
    <w:p>
      <w:pPr>
        <w:pStyle w:val="BookText"/>
        <w:rPr/>
      </w:pPr>
      <w:r>
        <w:rPr>
          <w:rFonts w:ascii="Amiri" w:hAnsi="Amiri" w:eastAsia="Amiri" w:cs="Amiri"/>
          <w:color w:val="111111"/>
          <w:sz w:val="28"/>
          <w:sz w:val="28"/>
          <w:szCs w:val="28"/>
          <w:rtl w:val="true"/>
          <w:lang w:bidi="ar-SA"/>
        </w:rPr>
        <w:t>بناءً على استفادة الأماريّة من أدلّة التجاوز، أو كون القاعدة أمارة عُقلائيّة يكون وجه تقدّمها على الاستصحاب هو الحكومة، و تنتج الورود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استفادة الأصلية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أدلّة الاستصحاب هو جعل الحكم للشاكّ؛ و أنَّ الشكّ موضوع في الاستصحاب، و مفاد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إذا شككت رتّب آثار اليقين أو المُتيقّن، أو إذا شككت ابن على وجود المشكوك فيه، وجه تقدّمها أيضاً الحكومة، و تنتج الورود على وجه؛ لأنَّ الظاهر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مع التجاوز لا يكون الشكّ محقّقاً، فيكون مفاده رفع موضوع الاستصحاب، و تعرّض دليل القاعدة لما لا يتعرّضه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 قوله في صحيحة حمّاد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ركعت أمضه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إلغاء الشكّ و رفعه، بل لا يبعد أو يكون قوله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فشكّك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موثّقة ابن أبي يعفور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شكّك بشي‌ءٍ</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حاكماً على أدلّة الاستصحاب، بناءً على أخذ</w:t>
      </w:r>
    </w:p>
    <w:p>
      <w:pPr>
        <w:pStyle w:val="BookText"/>
        <w:rPr/>
      </w:pPr>
      <w:r>
        <w:rPr>
          <w:rFonts w:ascii="Amiri" w:hAnsi="Amiri" w:eastAsia="Amiri" w:cs="Amiri"/>
          <w:color w:val="111111"/>
          <w:sz w:val="28"/>
          <w:sz w:val="28"/>
          <w:szCs w:val="28"/>
          <w:rtl w:val="true"/>
          <w:lang w:bidi="ar-SA"/>
        </w:rPr>
        <w:t>الشكّ في موضوعه،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أدلّته هو إبقاء اليقين، و إطالة عمره في عالم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احتملناه و استظهرناه سالفاً</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وجهه الحكومة، بل التخصيص؛ لأخصيّة دليلها من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أدلة الاستصحاب هو لحاظ الشكّ و اليقين، و أنَّ الشكّ لأجل كونه أمراً غير مُبرم لا ينقض اليقين الذي هو أمر مُبرم، كما هو ظاهر الأدلّة</w:t>
      </w:r>
      <w:r>
        <w:rPr>
          <w:rStyle w:val="FootnoteAnchor"/>
          <w:rtl w:val="true"/>
        </w:rPr>
        <w:footnoteReference w:id="711"/>
      </w:r>
      <w:r>
        <w:rPr>
          <w:rFonts w:ascii="Amiri" w:hAnsi="Amiri" w:eastAsia="Amiri" w:cs="Amiri"/>
          <w:color w:val="111111"/>
          <w:sz w:val="28"/>
          <w:sz w:val="28"/>
          <w:szCs w:val="28"/>
          <w:rtl w:val="true"/>
          <w:lang w:bidi="ar-SA"/>
        </w:rPr>
        <w:t>، و ليس مفادها مُجرّد إطالة عمر اليقين، و إلغاء الشكّ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التقدّم بالحكومة أيضاً؛ لأنَّ أحد الدليلين يكون مفاده أنَّ الشّك المُتحقّق لا ينقض اليقين، و مفاد الآخر أنَّ الشكّ غير مُتحقّق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الشكّ إذا كنت في شي‌ءٍ لم تجزه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موضوع في القاعدة، و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فشكّك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معناه عدم تحقّقه، بل كناية عن عدم لزوم الاعتناء به، أو عدم جوازه،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الشكّ إذا كنت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بعد كون المفروض في صدره وقوع الشكّ ليس إلّا عدم لزوم الاعتناء به، و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ركعت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مسبوقيّته بالسؤال عن حال الشكّ لا يفيد إلّا البناء على الوجود في حال الشكّ، كان تقدّمها عليه بما ذكره الأعلام من حصول اللّغوية أو الاستهجان </w:t>
      </w:r>
      <w:r>
        <w:rPr>
          <w:rStyle w:val="FootnoteAnchor"/>
          <w:rtl w:val="true"/>
        </w:rPr>
        <w:footnoteReference w:id="712"/>
      </w:r>
      <w:r>
        <w:rPr>
          <w:rFonts w:ascii="IRNazanin" w:hAnsi="IRNazanin" w:eastAsia="IRNazanin"/>
          <w:color w:val="111111"/>
          <w:sz w:val="28"/>
          <w:sz w:val="28"/>
          <w:szCs w:val="28"/>
          <w:rtl w:val="true"/>
          <w:lang w:bidi="fa-IR"/>
        </w:rPr>
        <w:t>، و لعلّ هذا الوجه أقوى الوجوه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تقدّمها عليه، كما لا ثمرة مُهمّة في تحقيق وجهه</w:t>
      </w:r>
      <w:r>
        <w:rPr>
          <w:rFonts w:eastAsia="Amiri" w:cs="Amiri" w:ascii="Amiri" w:hAnsi="Amiri"/>
          <w:color w:val="111111"/>
          <w:sz w:val="28"/>
          <w:szCs w:val="28"/>
          <w:rtl w:val="true"/>
          <w:lang w:bidi="ar-SA"/>
        </w:rPr>
        <w:t>.</w:t>
      </w:r>
      <w:bookmarkStart w:id="499" w:name="pg2245_13104"/>
    </w:p>
    <w:p>
      <w:pPr>
        <w:pStyle w:val="Heading3"/>
        <w:numPr>
          <w:ilvl w:val="2"/>
          <w:numId w:val="1"/>
        </w:numPr>
        <w:rPr/>
      </w:pPr>
      <w:bookmarkStart w:id="500" w:name="__RefHeading___Toc1614243_3804643083"/>
      <w:bookmarkStart w:id="501" w:name="_Toc182"/>
      <w:bookmarkEnd w:id="499"/>
      <w:bookmarkEnd w:id="500"/>
      <w:r>
        <w:rPr>
          <w:rtl w:val="true"/>
        </w:rPr>
        <w:t>المبحث الثالث في حال الاستصحاب مع أصالة الصحّة في فعل الغير</w:t>
      </w:r>
      <w:bookmarkEnd w:id="501"/>
    </w:p>
    <w:p>
      <w:pPr>
        <w:pStyle w:val="Heading4"/>
        <w:numPr>
          <w:ilvl w:val="3"/>
          <w:numId w:val="1"/>
        </w:numPr>
        <w:rPr/>
      </w:pPr>
      <w:bookmarkStart w:id="502" w:name="__RefHeading___Toc1614245_3804643083"/>
      <w:bookmarkStart w:id="503" w:name="_Toc183"/>
      <w:bookmarkEnd w:id="502"/>
      <w:r>
        <w:rPr>
          <w:rtl w:val="true"/>
        </w:rPr>
        <w:t>اشارة</w:t>
      </w:r>
      <w:bookmarkEnd w:id="50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في تقدّمها عليه في الجملة، و لا بدّ من بسط الكلام فيها، ثمّ بيان النسبة بينهما، و وجه تقدّمها عليه في ضمن امور</w:t>
      </w:r>
      <w:r>
        <w:rPr>
          <w:rFonts w:eastAsia="Amiri" w:cs="Amiri" w:ascii="Amiri" w:hAnsi="Amiri"/>
          <w:color w:val="111111"/>
          <w:sz w:val="28"/>
          <w:szCs w:val="28"/>
          <w:rtl w:val="true"/>
          <w:lang w:bidi="ar-SA"/>
        </w:rPr>
        <w:t>:</w:t>
      </w:r>
      <w:bookmarkStart w:id="504" w:name="pg2245_13105"/>
    </w:p>
    <w:p>
      <w:pPr>
        <w:pStyle w:val="Heading4"/>
        <w:numPr>
          <w:ilvl w:val="3"/>
          <w:numId w:val="1"/>
        </w:numPr>
        <w:rPr/>
      </w:pPr>
      <w:bookmarkStart w:id="505" w:name="__RefHeading___Toc1614247_3804643083"/>
      <w:bookmarkStart w:id="506" w:name="_Toc184"/>
      <w:bookmarkEnd w:id="504"/>
      <w:bookmarkEnd w:id="505"/>
      <w:r>
        <w:rPr>
          <w:rtl w:val="true"/>
        </w:rPr>
        <w:t>الأمر الأوّل في أصالة الصحّة و دليل اعتبارها</w:t>
      </w:r>
      <w:bookmarkEnd w:id="506"/>
    </w:p>
    <w:p>
      <w:pPr>
        <w:pStyle w:val="BookText"/>
        <w:rPr/>
      </w:pPr>
      <w:r>
        <w:rPr>
          <w:rFonts w:ascii="Amiri" w:hAnsi="Amiri" w:eastAsia="Amiri" w:cs="Amiri"/>
          <w:color w:val="111111"/>
          <w:sz w:val="28"/>
          <w:sz w:val="28"/>
          <w:szCs w:val="28"/>
          <w:rtl w:val="true"/>
          <w:lang w:bidi="ar-SA"/>
        </w:rPr>
        <w:t xml:space="preserve">قد استدلّ على اعتبار القاعدة بأُمورٍ من الكتاب </w:t>
      </w:r>
      <w:r>
        <w:rPr>
          <w:rStyle w:val="FootnoteAnchor"/>
          <w:rtl w:val="true"/>
        </w:rPr>
        <w:footnoteReference w:id="713"/>
      </w:r>
      <w:r>
        <w:rPr>
          <w:rFonts w:ascii="Amiri" w:hAnsi="Amiri" w:eastAsia="Amiri" w:cs="Amiri"/>
          <w:color w:val="111111"/>
          <w:sz w:val="28"/>
          <w:sz w:val="28"/>
          <w:szCs w:val="28"/>
          <w:rtl w:val="true"/>
          <w:lang w:bidi="ar-SA"/>
        </w:rPr>
        <w:t>و السنّة</w:t>
      </w:r>
      <w:r>
        <w:rPr>
          <w:rStyle w:val="FootnoteAnchor"/>
          <w:rtl w:val="true"/>
        </w:rPr>
        <w:footnoteReference w:id="714"/>
      </w:r>
      <w:r>
        <w:rPr>
          <w:rFonts w:ascii="IRNazanin" w:hAnsi="IRNazanin" w:eastAsia="IRNazanin"/>
          <w:color w:val="111111"/>
          <w:sz w:val="28"/>
          <w:sz w:val="28"/>
          <w:szCs w:val="28"/>
          <w:rtl w:val="true"/>
          <w:lang w:bidi="fa-IR"/>
        </w:rPr>
        <w:t xml:space="preserve">و الإجماع </w:t>
      </w:r>
      <w:r>
        <w:rPr>
          <w:rStyle w:val="FootnoteAnchor"/>
          <w:rtl w:val="true"/>
        </w:rPr>
        <w:footnoteReference w:id="715"/>
      </w:r>
      <w:r>
        <w:rPr>
          <w:rFonts w:ascii="IRNazanin" w:hAnsi="IRNazanin" w:eastAsia="IRNazanin"/>
          <w:color w:val="111111"/>
          <w:sz w:val="28"/>
          <w:sz w:val="28"/>
          <w:szCs w:val="28"/>
          <w:rtl w:val="true"/>
          <w:lang w:bidi="fa-IR"/>
        </w:rPr>
        <w:t xml:space="preserve">و العقل </w:t>
      </w:r>
      <w:r>
        <w:rPr>
          <w:rStyle w:val="FootnoteAnchor"/>
          <w:rtl w:val="true"/>
        </w:rPr>
        <w:footnoteReference w:id="716"/>
      </w:r>
      <w:r>
        <w:rPr>
          <w:rFonts w:ascii="Amiri" w:hAnsi="Amiri" w:eastAsia="Amiri" w:cs="Amiri"/>
          <w:color w:val="111111"/>
          <w:sz w:val="28"/>
          <w:sz w:val="28"/>
          <w:szCs w:val="28"/>
          <w:rtl w:val="true"/>
          <w:lang w:bidi="ar-SA"/>
        </w:rPr>
        <w:t>ممّا يمكن الخدشة في جلّها لو لا كلّها، و الدليل عليها هو بناء العُقلاء و السيرة العُقلائيّة القطعيّة من غير اختصاصها بطائفة خاصّة كالمُسلمين، و لا اختصاص جريانها بفعل المُسلم، و ليس للمُسلمين في ذلك طريقة خاصّة تكشف عن كون أصالة الصحّة ثابتة من قبل شارع الإسلام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الضرورة قائمة بأنّها كانت ثابتة قبل الإسلام من لدن صيرورة الإنسان مُتمدّناً مُجتمعاً على قوانين إلهيّة أو عُرفيّة، و صارت أنواع المُعاملات رائجة بينهم، و الإسلام بدأ في زمان كانت تلك القاعدة كقاعدة اليد و كالعمل بخبر الثقة معمولًا بها بين الناس، مُنتحليهم بالديانات و غيرهم، و المُسلمون كانوا يعملون بها كسائر طبقات الناس، من غير انتظار ورود شي‌ءٍ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يحمل المُسلمون أعمال سائر الملل في نكاحهم و طلاقهم و عُقودهم و إيقاعاتهم على الصحّة، و هم يحملون أعمال المُسلمين عليها، من غير كون ذلك في ارتكازهم أمراً دينيّاً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سيرة المُسلمين و الإجماع القوليّ و العمليّ ليس شي‌ء منها دليلًا برأسه، بل كلّها ترجع إلى هذا الأمر العُقلائيّ الثابت لدى جميع العُقلاء، و 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الاستدلال عليها بدليل لفظيّ، فيمكن أن يستدلّ عليها بطوائف من الأخبار المُتفرّقة في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باب تجهيز الموتى؛ حيث تدلّ على اكتفاء المُسلمين في الصدر الأوّل على فعل الغير في غسل الموتى و كفنهم و سائر التجهيزات، و كانوا يصلّون عليهم من غير تفتيش عن صحّة الغسل و الكفن </w:t>
      </w:r>
      <w:r>
        <w:rPr>
          <w:rStyle w:val="FootnoteAnchor"/>
          <w:rtl w:val="true"/>
        </w:rPr>
        <w:footnoteReference w:id="717"/>
      </w:r>
      <w:r>
        <w:rPr>
          <w:rFonts w:ascii="Amiri" w:hAnsi="Amiri" w:eastAsia="Amiri" w:cs="Amiri"/>
          <w:color w:val="111111"/>
          <w:sz w:val="28"/>
          <w:sz w:val="28"/>
          <w:szCs w:val="28"/>
          <w:rtl w:val="true"/>
          <w:lang w:bidi="ar-SA"/>
        </w:rPr>
        <w:t>، مع وجوب الغسل و سائر التجهيزات على جميعهم، و لم يكن اكتفاؤهم بفعل الغير إلّا لأجل البناء على الصحّة، و دعوى حصول العلم بصحّة الغسل و سائر التجهيزات الصادرة عن غيرهم كما ترى</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باب الحثّ على الجماعة و الجمعة، و الأمر بالائتمام خلف من يوثق بدينه و أمانته </w:t>
      </w:r>
      <w:r>
        <w:rPr>
          <w:rStyle w:val="FootnoteAnchor"/>
          <w:rtl w:val="true"/>
        </w:rPr>
        <w:footnoteReference w:id="718"/>
      </w:r>
      <w:r>
        <w:rPr>
          <w:rFonts w:ascii="Amiri" w:hAnsi="Amiri" w:eastAsia="Amiri" w:cs="Amiri"/>
          <w:color w:val="111111"/>
          <w:sz w:val="28"/>
          <w:sz w:val="28"/>
          <w:szCs w:val="28"/>
          <w:rtl w:val="true"/>
          <w:lang w:bidi="ar-SA"/>
        </w:rPr>
        <w:t>، و في هذا الباب روايات كثيرة دالّة على أنَّ أصالة الصحّة كانت أصلًا مُعتبراً عند رسول اللَّه صلى اللَّه عليه و آله و الأئمّة عليهم السلام؛ إذ لا إشكال في أنَّ إحراز صحّة صلاة الإمام و لو بالأصل شرط في جواز الائتمام به، و لو لم تكن أصالة الصحّة معتبرة لم يكن إحرازها مُمكناً، مع أنَّ الإمام كثيراً ما يكون مستصحب الحدث لدى المأموم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البيع و الشراء لرسول اللَّه صلى اللَّه عليه و آله و الأئمّة</w:t>
      </w:r>
    </w:p>
    <w:p>
      <w:pPr>
        <w:pStyle w:val="BookText"/>
        <w:rPr/>
      </w:pPr>
      <w:r>
        <w:rPr>
          <w:rFonts w:ascii="Amiri" w:hAnsi="Amiri" w:eastAsia="Amiri" w:cs="Amiri"/>
          <w:color w:val="111111"/>
          <w:sz w:val="28"/>
          <w:sz w:val="28"/>
          <w:szCs w:val="28"/>
          <w:rtl w:val="true"/>
          <w:lang w:bidi="ar-SA"/>
        </w:rPr>
        <w:t xml:space="preserve">عليهم السلام، كرواية عروة البارقيّ في الفضوليّ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عروة البارقي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عروة بن الجعد و قيل ابن أبي الجعد البارقي، و بارق من الأزد، ذكره الشيخ في رجاله في 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هذه الطائفة كثيرة يطّلع عليها المُتتبّع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توكيل بعض الأئمّة عليهم السلام غيرهم للزواج و الطلاق، كتوكيل أمير المؤمنين عليه السلام العبّاس في أمر امّ كُلثوم </w:t>
      </w:r>
      <w:r>
        <w:rPr>
          <w:rStyle w:val="FootnoteAnchor"/>
          <w:rtl w:val="true"/>
        </w:rPr>
        <w:footnoteReference w:id="720"/>
      </w:r>
      <w:r>
        <w:rPr>
          <w:rFonts w:ascii="Amiri" w:hAnsi="Amiri" w:eastAsia="Amiri" w:cs="Amiri"/>
          <w:color w:val="111111"/>
          <w:sz w:val="28"/>
          <w:sz w:val="28"/>
          <w:szCs w:val="28"/>
          <w:rtl w:val="true"/>
          <w:lang w:bidi="ar-SA"/>
        </w:rPr>
        <w:t xml:space="preserve">، توكيل أبي الحسن عليه السلام محمّد بن عيسى اليقطينيّ </w:t>
      </w:r>
      <w:r>
        <w:rPr>
          <w:rStyle w:val="FootnoteAnchor"/>
          <w:rtl w:val="true"/>
        </w:rPr>
        <w:footnoteReference w:id="721"/>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طلاق زوجته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التوكيل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تصحيح نكاح الأب و الجدّ، بل مُطلق روايات جعل الولاية لهما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تصحيح التجارة بمال اليتيم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جعل القاضي و الحاكم و الإمام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bookmarkStart w:id="507" w:name="pg2245_13108"/>
    </w:p>
    <w:p>
      <w:pPr>
        <w:pStyle w:val="BookText"/>
        <w:rPr/>
      </w:pPr>
      <w:bookmarkEnd w:id="507"/>
      <w:r>
        <w:rPr>
          <w:rFonts w:ascii="Amiri" w:hAnsi="Amiri" w:eastAsia="Amiri" w:cs="Amiri"/>
          <w:color w:val="111111"/>
          <w:sz w:val="28"/>
          <w:sz w:val="28"/>
          <w:szCs w:val="28"/>
          <w:rtl w:val="true"/>
          <w:lang w:bidi="ar-SA"/>
        </w:rPr>
        <w:t>إلى غير ذلك ممّا يعلم بها علماً ضروريّاً أنَّ مسألة الحمل على الصحّة كان معمولًا بها من عصر رسول اللَّه صلى اللَّه عليه و آله و الأئمّة عليهم السلام، و كان عملهم كسائر العُقلاء، و لم يكن للشارع تصرّف و دخالة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أوضح من أن يحتاج إلى إتعاب النفس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موضوع بناء العُقلاء ليس منحصراً بالعمل الصادر من الفاعل، كما يكون موضوع قاعدة الفراغ على القول بها</w:t>
      </w:r>
      <w:r>
        <w:rPr>
          <w:rStyle w:val="FootnoteAnchor"/>
          <w:rtl w:val="true"/>
        </w:rPr>
        <w:footnoteReference w:id="726"/>
      </w:r>
      <w:r>
        <w:rPr>
          <w:rFonts w:ascii="Amiri" w:hAnsi="Amiri" w:eastAsia="Amiri" w:cs="Amiri"/>
          <w:color w:val="111111"/>
          <w:sz w:val="28"/>
          <w:sz w:val="28"/>
          <w:szCs w:val="28"/>
          <w:rtl w:val="true"/>
          <w:lang w:bidi="ar-SA"/>
        </w:rPr>
        <w:t>، بل هو أعمّ منه؛ فإنَّ بناءهم على مُعاملة الصحّة مع الفعل الذي سيصدر من الفاعل، أو يشتغل به إذا كان منشأً للأثر، فيأتمّون بالإمام مع الشكّ في صحّة عمله، و يوكّلون الغير في النكاح و البيع و سائر امورهم ممّا له صحّة و فساد مع الشكّ في صدوره منه صحيحاً، و بعض الأخبار المُتقدّمة أيضاً يدلّ على ذلك، فدائرة أصالة الصحّة في فعل الغير أوسع منها في فعل النفس</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614249_3804643083"/>
      <w:bookmarkStart w:id="509" w:name="_Toc185"/>
      <w:bookmarkEnd w:id="508"/>
      <w:r>
        <w:rPr>
          <w:rtl w:val="true"/>
        </w:rPr>
        <w:t>الأمر الثاني هل أنَّ الصحّة في الواقعيّة أم لا؟</w:t>
      </w:r>
      <w:bookmarkEnd w:id="509"/>
    </w:p>
    <w:p>
      <w:pPr>
        <w:pStyle w:val="BookText"/>
        <w:rPr/>
      </w:pPr>
      <w:r>
        <w:rPr>
          <w:rFonts w:ascii="Amiri" w:hAnsi="Amiri" w:eastAsia="Amiri" w:cs="Amiri"/>
          <w:color w:val="111111"/>
          <w:sz w:val="28"/>
          <w:sz w:val="28"/>
          <w:szCs w:val="28"/>
          <w:rtl w:val="true"/>
          <w:lang w:bidi="ar-SA"/>
        </w:rPr>
        <w:t>هل المحمول عليه فعل الفاعل هو الصحّة باعتقاد الفاعل، أو الصحّة الواقعيّة؟</w:t>
      </w:r>
    </w:p>
    <w:p>
      <w:pPr>
        <w:pStyle w:val="BookText"/>
        <w:rPr/>
      </w:pPr>
      <w:r>
        <w:rPr>
          <w:rFonts w:ascii="Amiri" w:hAnsi="Amiri" w:eastAsia="Amiri" w:cs="Amiri"/>
          <w:color w:val="111111"/>
          <w:sz w:val="28"/>
          <w:sz w:val="28"/>
          <w:szCs w:val="28"/>
          <w:rtl w:val="true"/>
          <w:lang w:bidi="ar-SA"/>
        </w:rPr>
        <w:t>و قبل تحقيق ذلك لا بدّ من بيان أمر، و هو أنَّه قد عرفت أنَّ مبنى أصالة الصحّة هو بناء العُقلاء، و مبنى ذلك البناء يمكن أن يكون أحد أمرين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جهة إلقاء احتمال الخلاف؛ لأجل غلبة صدور الفعل الصحيح من الفاعل المُريد لإيجاد فعل لتوقّع ترتّب الأثر عليه، فإنَّ الفاعل الكذائيّ لا يخلّ بشي‌ءٍ ممّا هو مُعتبر في المأتيّ به عمداً، و الترك السهويّ خلاف الأصل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الفعل فاسداً عمداً أو سهواً أو غفلة نادر لا يعتني به العُقلاء، بل احتماله مغفول عنه نوعاً لدى العُقلاء، فالحمل على الصحّة لأجل الغلبة، و ندرة التخلّف في فعل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بناء العُقلاء في الحمل على الصحّة أنَّ سائسي الأقوام و النافذين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السلاطين و الرؤساء في الأزمنة القديمة التي كانت أوان حدوث التمدّن و الاجتماع البشريّ و حدوث الاختلاط بين الطوائف، و تدوين القوانين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وضعوا القوانين المُفيدة السهلة؛ لرغد العيش و سهولة الأمر بينهم،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أصالة الصحّة، فكانت في أوّل الأمر قانوناً مدنيّاً بينهم، حتّى صارت مرتكزة معمولًا بها، فصارت كالطبيعة الثانية لهم، و لعلّ كثيراً من المُرتكزات الآن كان كذلك في أوان تمدّن البشر، فأخَذ اللّاحق من السابق، و ورث الأبناء من الآباء، فصارت مرتكزة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إذا كان مبنى أصالة الصحّة هو الأمر الأوّل يكون المحمول عليه هو الصحّة في اعتقاده، و إن كان الثاني يكون هو الصحّة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الأوّل لو فرض الحمل على الصحّة الواقعيّة لا بدّ و أن يدّعى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عند الشكّ في اعتقاد الفاعل يحمل اعتقاده على كونه موافقاً لاعتقاد الحامل، بدعوى أنَّ الحامل لمّا رأى اعتقاده موافقاً للواقع يحمل رأي الفاعل على الصحّة، فيجري أصالة الصحّة في اعتقاده، كما يجري في عمله، فيحمل عمله على الصحّة الواقعيّة باعتبارهما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تعامل العُقلاء مع الفعل المشكوك فيه في الجملة عمل الصحّة الواقعيّة؛ ضرورة ترتيبهم آثار الواقع على المُعاملات و العبادات الصادرة من الناس، كما أنَّه لا إشكال في عدم جريان أصالة تطابق اعتقاد الفاعل لاعتقاد الحامل </w:t>
      </w:r>
      <w:r>
        <w:rPr>
          <w:rStyle w:val="FootnoteAnchor"/>
          <w:rtl w:val="true"/>
        </w:rPr>
        <w:footnoteReference w:id="727"/>
      </w:r>
      <w:r>
        <w:rPr>
          <w:rFonts w:ascii="Amiri" w:hAnsi="Amiri" w:eastAsia="Amiri" w:cs="Amiri"/>
          <w:color w:val="111111"/>
          <w:sz w:val="28"/>
          <w:sz w:val="28"/>
          <w:szCs w:val="28"/>
          <w:rtl w:val="true"/>
          <w:lang w:bidi="ar-SA"/>
        </w:rPr>
        <w:t>ضرورة أنَّه مع كثرة مُخالفة الاعتقادات و الاجتهادات في الأحكام لا يبقى</w:t>
      </w:r>
    </w:p>
    <w:p>
      <w:pPr>
        <w:pStyle w:val="BookText"/>
        <w:rPr/>
      </w:pPr>
      <w:r>
        <w:rPr>
          <w:rFonts w:ascii="Amiri" w:hAnsi="Amiri" w:eastAsia="Amiri" w:cs="Amiri"/>
          <w:color w:val="111111"/>
          <w:sz w:val="28"/>
          <w:sz w:val="28"/>
          <w:szCs w:val="28"/>
          <w:rtl w:val="true"/>
          <w:lang w:bidi="ar-SA"/>
        </w:rPr>
        <w:t>مجال لذلك الأصل، و دعوى ارتكازيّة هذا الأصل كما ترى</w:t>
      </w:r>
    </w:p>
    <w:p>
      <w:pPr>
        <w:pStyle w:val="BookText"/>
        <w:rPr/>
      </w:pPr>
      <w:r>
        <w:rPr>
          <w:rFonts w:ascii="Amiri" w:hAnsi="Amiri" w:eastAsia="Amiri" w:cs="Amiri"/>
          <w:color w:val="111111"/>
          <w:sz w:val="28"/>
          <w:sz w:val="28"/>
          <w:szCs w:val="28"/>
          <w:rtl w:val="true"/>
          <w:lang w:bidi="ar-SA"/>
        </w:rPr>
        <w:t xml:space="preserve">فمن ذلك تصير دعوى كون مبنى أصالة الصحّة هو الغلبة المُتقدّمة مُشكلة؛ لأنَّ ما كانت دعوى الغلبة فيه صحيحة هو غلبة إتيان الفاعل العمل على طبق اعتقاده، لا على طبق الواقع و لو لم يكن موافقاً لاعتقاده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ذلك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أصالة الصحّة ليس الغلبة، بل هو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الاعتقادات و الآراء الاجتهاديّة و إن كانت مُختلفة، لكنّ الغالب في مقام العمل مُراعاة الاحتياط، و تطبيق العمل على الواقع، فجريان أصالة الصحّة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يخلو هو أيضاً من إشكال، كما أنَّ كون مبنى أصالة الصحّة هو الأمر الثاني أيضاً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يسهّل الخطب أنَّ بناء العُقلاء على جريان أصالة الصحّة، و الحمل على الصحّة الواقعيّة معلوم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علم مطابقة رأي العامل للحامل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جهل حال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غالب الموارد يكون من هذا القبيل، و غيره نادر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إذا علم مخالفتهما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التخالف بينهما بالتباين، كما لو اعتقد أحدهما وجوب القصر في أربعة فراسخ و إن لم يرجع ليومه، و الآخر وجوب الإتمام، ففي هذه الصورة لا تجري أصالة الصحّة؛ لأنَّ جريانها مساوق لحمل فعله على السهو و الغفلة، و هو مُخالف للأصل</w:t>
      </w:r>
      <w:r>
        <w:rPr>
          <w:rFonts w:eastAsia="Amiri" w:cs="Amiri" w:ascii="Amiri" w:hAnsi="Amiri"/>
          <w:color w:val="111111"/>
          <w:sz w:val="28"/>
          <w:szCs w:val="28"/>
          <w:rtl w:val="true"/>
          <w:lang w:bidi="ar-SA"/>
        </w:rPr>
        <w:t>.</w:t>
      </w:r>
      <w:bookmarkStart w:id="510" w:name="pg2245_13111"/>
    </w:p>
    <w:p>
      <w:pPr>
        <w:pStyle w:val="BookText"/>
        <w:rPr/>
      </w:pPr>
      <w:bookmarkEnd w:id="510"/>
      <w:r>
        <w:rPr>
          <w:rFonts w:ascii="Amiri" w:hAnsi="Amiri" w:eastAsia="Amiri" w:cs="Amiri"/>
          <w:color w:val="111111"/>
          <w:sz w:val="28"/>
          <w:sz w:val="28"/>
          <w:szCs w:val="28"/>
          <w:rtl w:val="true"/>
          <w:lang w:bidi="ar-SA"/>
        </w:rPr>
        <w:t>و قد يكون التخالف بغيره، كما لو اعتقد الفاعل التخيير بين الجهر و الإخفات في ظهر يوم الجمعة، و اعتقد الحامل تعيّن الإخفات فيه، و هذه الصورة، مورد الشكّ في بناء العُقلاء، فلا بدّ من العمل في هاتين الصورتين على سائر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من ترك العمل عليها فيهما محذور اختلال النظام و العسر و الحرج؛ لأنَّ غالب موارد الابتلاء بحيث يشذّ ما عداه هو صورة الجهل بحال الفاعل، و هو المُتيقّن من جريان الأصل فيه، و العمل فيه على الصحّة الواقعيّة</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614251_3804643083"/>
      <w:bookmarkStart w:id="512" w:name="_Toc186"/>
      <w:bookmarkEnd w:id="511"/>
      <w:r>
        <w:rPr>
          <w:rtl w:val="true"/>
        </w:rPr>
        <w:t>الأمر الثالث حول أقسام الشكّ في العمل و أحكامها</w:t>
      </w:r>
      <w:bookmarkEnd w:id="512"/>
    </w:p>
    <w:p>
      <w:pPr>
        <w:pStyle w:val="BookText"/>
        <w:rPr/>
      </w:pPr>
      <w:r>
        <w:rPr>
          <w:rFonts w:ascii="Amiri" w:hAnsi="Amiri" w:eastAsia="Amiri" w:cs="Amiri"/>
          <w:color w:val="111111"/>
          <w:sz w:val="28"/>
          <w:sz w:val="28"/>
          <w:szCs w:val="28"/>
          <w:rtl w:val="true"/>
          <w:lang w:bidi="ar-SA"/>
        </w:rPr>
        <w:t xml:space="preserve">الشكّ في العمل تارة يكون في تحقق ركن مقوّم منه، لولاه لم يصدق عليه عنوانه عُرفاً، كالشكّ في وقوع العقد بلا ثمن، أو الشكّ في ماليّة العوضين، أو في تميّز المُتعاملين؛ فإنَّ الإخلال بكلّ واحدٍ ممّا ذكر مُخلّ بتحقّق العقد عرفاً و لو على القول بالأعمّ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 يكون في جهة اخرى بعد استكماله للأركان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الشكّ في شرائط المُتعاملين، كالشكّ في بلوغهما، أو كونهما مُختارين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في شرائط العوضين، ككونهما خمراً أو خنزيراً أو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في شرائط نفس العقد، كالشكّ في تقدّم الإيجاب، و عربيّة العقد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في تحقق شرط مُفسد بناءً على مفسديّة الشرط الفاسد، هذه جملة</w:t>
      </w:r>
    </w:p>
    <w:p>
      <w:pPr>
        <w:pStyle w:val="BookText"/>
        <w:rPr/>
      </w:pPr>
      <w:r>
        <w:rPr>
          <w:rFonts w:ascii="Amiri" w:hAnsi="Amiri" w:eastAsia="Amiri" w:cs="Amiri"/>
          <w:color w:val="111111"/>
          <w:sz w:val="28"/>
          <w:sz w:val="28"/>
          <w:szCs w:val="28"/>
          <w:rtl w:val="true"/>
          <w:lang w:bidi="ar-SA"/>
        </w:rPr>
        <w:t>الشكوك الحاصلة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الإشكال في عدم جريان الأصل في الصورة الاولى؛ لأنَّ الشكّ يرجع إلى تحقّق العقد، و في مثله لا تجري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الصحّة لا تجري عند العُقلاء إلّا بعد إحراز عنوان العمل، و مع الشكّ فيه لا مجرى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الصحّة و اللّاصحّة في الرتبة المُتأخّرة عن وجود العمل، و مع الشكّ في تحقّقه لا معنى لإجراء أصالة الصحّة، سواءً كانت الصحّة بمعنى التماميّة، أو معنى انتزاعيّاً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 الاخر ما عدا الصورة الأخيرة التي يأتي الكلام فيها فالظاهر جريانها فيها، من غير فرق بين الشكّ في قابليّة العوضين للنقل و الانتقال شرعاً، أو قابليّة المُتعاملين لإجراء العمل كذلك، أو غيرهما؛ لاستقرار بناء العُقلاء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معنى لاستقرار طريقة العُقلاء بما أنّهم عُقلاء على موضوع مع القيود الشرعيّة، و قد عرفت </w:t>
      </w:r>
      <w:r>
        <w:rPr>
          <w:rStyle w:val="FootnoteAnchor"/>
          <w:rtl w:val="true"/>
        </w:rPr>
        <w:footnoteReference w:id="730"/>
      </w:r>
      <w:r>
        <w:rPr>
          <w:rFonts w:ascii="Amiri" w:hAnsi="Amiri" w:eastAsia="Amiri" w:cs="Amiri"/>
          <w:color w:val="111111"/>
          <w:sz w:val="28"/>
          <w:sz w:val="28"/>
          <w:szCs w:val="28"/>
          <w:rtl w:val="true"/>
          <w:lang w:bidi="ar-SA"/>
        </w:rPr>
        <w:t>أنَّ أصالة الصحّة من الاصول العُقلائيّة السابقة على شريعة الإسلام، فجريانها فيها ممّا لا مانع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ادّعاه بعض أعاظم العصر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دعواه إجماعاً بنحو الكبرى الكلّية على أصالة الصحّة في مُطلق العمل، و إجماعاً آخر على خصوص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أصالة الصحّة في العقود سوى الإجماع، و ليس لمعقده إطلاق يعمّ جميع الصور، و القدر المُتيقّن منه ما إذا كان الشكّ في تأثير العقد للنقل و الانتقال، بعد الفراغ عن سلطنة العاقد لإيجاد المُعاملة من حيث نفسه، و من حيث المال المعقود عليه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أهليّة العاقد لإيجاد المُعاملة و قابليّة المعقود عليه للنقل و الانتقال</w:t>
      </w:r>
    </w:p>
    <w:p>
      <w:pPr>
        <w:pStyle w:val="BookText"/>
        <w:rPr/>
      </w:pPr>
      <w:r>
        <w:rPr>
          <w:rFonts w:ascii="Amiri" w:hAnsi="Amiri" w:eastAsia="Amiri" w:cs="Amiri"/>
          <w:color w:val="111111"/>
          <w:sz w:val="28"/>
          <w:sz w:val="28"/>
          <w:szCs w:val="28"/>
          <w:rtl w:val="true"/>
          <w:lang w:bidi="ar-SA"/>
        </w:rPr>
        <w:t>إنّما تكون مأخوذة في عقد وضع أصالة الصحّة، فلا تجري إلّا بعد إحرازهما</w:t>
      </w:r>
      <w:r>
        <w:rPr>
          <w:rStyle w:val="FootnoteAnchor"/>
          <w:rtl w:val="true"/>
        </w:rPr>
        <w:footnoteReference w:id="7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عليها هو بناء العُقلاء، مع عدم ورود ردع من الشارع، لا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الإجماع عليها في مُطلق العمل بنحو الكبرى الكلّية اللّازم منه الأخذ بعموم معقده في جميع الموارد المشكوك فيها لا معنى لإجماع مُستقلّ آخر على خصوص البيع؛ بحيث يكون في مقابل الإجماع المُتقدّم، و على فرضه لا يضرّ عدم إطلاق معقده بعموم معقد الإجماع الأوّل، فيجب الأخذ به في جميع صور الشكّ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الإجماع أوّلًا بنحو الكبرى الكلّية، و ثانياً في خصوص العقود بنحو الإجمال، ثمّ دعوى كون أهليّة العاقد و قابليّه المعقود عليه للنقل اخذا في عقد وضع أصالة الصحّة، كلّها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جريانها في جميع الصور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المُحقّق الثاني أنَّ أصالة الصحّة في العقود شي‌ء،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ظهور حال المُسلم أو الفاعل في إيجاد العقد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آخر مُستقلّ في قبال أصل الصحّة، حيث قال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إنَّ الأصل في العقود الصحّة بعد استكمال أركانها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الظاهر إنّما يتمّ مع الاستكمال المذكور، لا مُطلقاً</w:t>
      </w:r>
      <w:r>
        <w:rPr>
          <w:rStyle w:val="FootnoteAnchor"/>
          <w:rtl w:val="true"/>
        </w:rPr>
        <w:footnoteReference w:id="7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يظهر من الشيخ الأعظم ارتضاؤه بذلك، حيث أجاب عن أصالة الصحّة مُستقلًاّ</w:t>
      </w:r>
      <w:r>
        <w:rPr>
          <w:rStyle w:val="FootnoteAnchor"/>
          <w:rtl w:val="true"/>
        </w:rPr>
        <w:footnoteReference w:id="733"/>
      </w:r>
      <w:r>
        <w:rPr>
          <w:rFonts w:ascii="Amiri" w:hAnsi="Amiri" w:eastAsia="Amiri" w:cs="Amiri"/>
          <w:color w:val="111111"/>
          <w:sz w:val="28"/>
          <w:sz w:val="28"/>
          <w:szCs w:val="28"/>
          <w:rtl w:val="true"/>
          <w:lang w:bidi="ar-SA"/>
        </w:rPr>
        <w:t>، و عن الظاهر المُدّعى مُستقلًاّ، من غير تعرّض لعدم كونهما عنوانين مُستقلّين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ليست أصالة الصحّة أصلًا مُستقلًاّ عُقلائيّاً أو شرعيّاً، و ظهور حال المُسلم أو الفاعل أمراً مُستقلًاّ</w:t>
      </w:r>
      <w:r>
        <w:rPr>
          <w:rStyle w:val="FootnoteAnchor"/>
          <w:rtl w:val="true"/>
        </w:rPr>
        <w:footnoteReference w:id="734"/>
      </w:r>
      <w:r>
        <w:rPr>
          <w:rFonts w:ascii="Amiri" w:hAnsi="Amiri" w:eastAsia="Amiri" w:cs="Amiri"/>
          <w:color w:val="111111"/>
          <w:sz w:val="28"/>
          <w:sz w:val="28"/>
          <w:szCs w:val="28"/>
          <w:rtl w:val="true"/>
          <w:lang w:bidi="ar-SA"/>
        </w:rPr>
        <w:t>يدلّ على اعتباره دليل عُقلائيّ أو شرعيّ، بل الذي يكون مورد بناء العُقلاء هو المعاملة بالصحة مع الفعل المشكوك فيه، و أمّا ظهور حال الفاعل فيحتمل أن يكون مبنى هذا العمل، كما أنَّه يمكن أن يكون مبناه ما أشرنا إليه في الأمر المُتقدّم، فكونهما أمرين مُستقلّين ممّا لا وجه له، و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حال ما عدا الصورة الأخيرة المُتقدمة، و أمّا هي؛ أي ما يكون الشكّ من ناحية جعل الشرط المفسد فيها أنَّه قد يكون الاختلاف بين المُتعاملين في جعل الشرط المفسد و عدمه، فيدّعي أحدهما اشتراط أمرٍ مجهول، و ينكر الآخر أصل الاشتراط، و قد يكون في جعله و جعل غيره، بعد اتّفاقهما على أصل الاشتراط، فيدّعي أحدهما اشتراط خياطة ثوب، و الآخر اشتراط خياطة ثوب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يرجع اختلافهما إلى الأقلّ و الأكثر، و قد يرجع إلى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القول قولَ منكر أصل الاشتراط؛ لأصالة عدم الاشتراط</w:t>
      </w:r>
      <w:r>
        <w:rPr>
          <w:rStyle w:val="FootnoteAnchor"/>
          <w:rtl w:val="true"/>
        </w:rPr>
        <w:footnoteReference w:id="735"/>
      </w:r>
      <w:r>
        <w:rPr>
          <w:rFonts w:ascii="Amiri" w:hAnsi="Amiri" w:eastAsia="Amiri" w:cs="Amiri"/>
          <w:color w:val="111111"/>
          <w:sz w:val="28"/>
          <w:sz w:val="28"/>
          <w:szCs w:val="28"/>
          <w:rtl w:val="true"/>
          <w:lang w:bidi="ar-SA"/>
        </w:rPr>
        <w:t>، و الشكّ في صحّة العقد و فساده مُسبّب عن الشكّ في جعل الشرط المفسد، لكنّ ذلك لو لم نقل بأنَّ أصالة الصحّة أمارة عقلائيّة، و إلّا فلو جرت في المُسبّب ترفع موضوع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الاشتراط الراجع إلى الأقلّ و الأكثر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ادّعى أحدهما اشتراط خياطة الثوب المعلوم، و الآخر اشتراط شرب الخمر، و قلنا بمفسديّة الشرط الفاسد مُطلقاً</w:t>
      </w:r>
      <w:r>
        <w:rPr>
          <w:rStyle w:val="FootnoteAnchor"/>
          <w:rtl w:val="true"/>
        </w:rPr>
        <w:footnoteReference w:id="736"/>
      </w:r>
      <w:r>
        <w:rPr>
          <w:rFonts w:ascii="IRNazanin" w:hAnsi="IRNazanin" w:eastAsia="IRNazanin"/>
          <w:color w:val="111111"/>
          <w:sz w:val="28"/>
          <w:sz w:val="28"/>
          <w:szCs w:val="28"/>
          <w:rtl w:val="true"/>
          <w:lang w:bidi="fa-IR"/>
        </w:rPr>
        <w:t>فالمرجع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تساقط</w:t>
      </w:r>
    </w:p>
    <w:p>
      <w:pPr>
        <w:pStyle w:val="BookText"/>
        <w:rPr/>
      </w:pPr>
      <w:r>
        <w:rPr>
          <w:rFonts w:ascii="Amiri" w:hAnsi="Amiri" w:eastAsia="Amiri" w:cs="Amiri"/>
          <w:color w:val="111111"/>
          <w:sz w:val="28"/>
          <w:sz w:val="28"/>
          <w:szCs w:val="28"/>
          <w:rtl w:val="true"/>
          <w:lang w:bidi="ar-SA"/>
        </w:rPr>
        <w:t>الأصلين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جعل الشرط من قبيل الأعدام الأزليّة، كأصالة عدم القرشيّة</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الشرط إنّما يوجد تدريجاً بعد تحقّق الإيجاب؛ لكونه في ضمنه، فقول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بهذا، و شرطت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وجد تدريجاً يمكن أن يقال إنَّ الإيجاب معلوم و إنشاء الشرط في ضمنه مشكوك فيه، فيدفع بالأصل، كاستصحاب عدم عروض المُفسد للصلاة، لكن في الاستصحاب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أصالة عدم الشرط في ضمن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المُثبتيّة، و ليس المقام مُناسباً للتفصيل، و الغرض في المقام جريان أصالة الصحّة مُطلقاً، لا جريان أصل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يظهر من عبارة المُحقّق الثاني المنقولة من كتاب الإجارة أنَّ مورد أصالة الصحّة إنّما يكون فيما شكّ في الشرط المُفسد بعد إحراز سائر شرائط العقد، و أمّا إذا شكّ في شي‌ءٍ ممّا هو مُعتبر في العقد أو المُتعاقدين أو العوضين فلا مجال لأصالة الصحّة؛ لأنَّ الأصل عدم السبب الناقل </w:t>
      </w:r>
      <w:r>
        <w:rPr>
          <w:rStyle w:val="FootnoteAnchor"/>
          <w:rtl w:val="true"/>
        </w:rPr>
        <w:footnoteReference w:id="738"/>
      </w:r>
      <w:r>
        <w:rPr>
          <w:rFonts w:ascii="Amiri" w:hAnsi="Amiri" w:eastAsia="Amiri" w:cs="Amiri"/>
          <w:color w:val="111111"/>
          <w:sz w:val="28"/>
          <w:sz w:val="28"/>
          <w:szCs w:val="28"/>
          <w:rtl w:val="true"/>
          <w:lang w:bidi="ar-SA"/>
        </w:rPr>
        <w:t>، و هو كما ترى</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ذلك مُراده من استكمال الأركان، لا الذي ذكرنا سابقاً، ثمَّ إنَّ تمسّكه بأصالة عدم المُفسد في عَرْض أصالة الصحّة خلاف الصناعة، كما أنَّ إنكار الشيخ الأعظم جريان أصالة الصحّة مُطلقاً</w:t>
      </w:r>
      <w:r>
        <w:rPr>
          <w:rStyle w:val="FootnoteAnchor"/>
          <w:rtl w:val="true"/>
        </w:rPr>
        <w:footnoteReference w:id="739"/>
      </w:r>
      <w:r>
        <w:rPr>
          <w:rFonts w:ascii="Amiri" w:hAnsi="Amiri" w:eastAsia="Amiri" w:cs="Amiri"/>
          <w:color w:val="111111"/>
          <w:sz w:val="28"/>
          <w:sz w:val="28"/>
          <w:szCs w:val="28"/>
          <w:rtl w:val="true"/>
          <w:lang w:bidi="ar-SA"/>
        </w:rPr>
        <w:t>محلّ منع</w:t>
      </w:r>
      <w:r>
        <w:rPr>
          <w:rFonts w:eastAsia="Amiri" w:cs="Amiri" w:ascii="Amiri" w:hAnsi="Amiri"/>
          <w:color w:val="111111"/>
          <w:sz w:val="28"/>
          <w:szCs w:val="28"/>
          <w:rtl w:val="true"/>
          <w:lang w:bidi="ar-SA"/>
        </w:rPr>
        <w:t>.</w:t>
      </w:r>
      <w:bookmarkStart w:id="513" w:name="pg2245_13116"/>
    </w:p>
    <w:p>
      <w:pPr>
        <w:pStyle w:val="Heading4"/>
        <w:numPr>
          <w:ilvl w:val="3"/>
          <w:numId w:val="1"/>
        </w:numPr>
        <w:rPr/>
      </w:pPr>
      <w:bookmarkStart w:id="514" w:name="__RefHeading___Toc1614253_3804643083"/>
      <w:bookmarkStart w:id="515" w:name="_Toc187"/>
      <w:bookmarkEnd w:id="513"/>
      <w:bookmarkEnd w:id="514"/>
      <w:r>
        <w:rPr>
          <w:rtl w:val="true"/>
        </w:rPr>
        <w:t>الأمر الرابع اختصاص القاعدة بما إذا شكّ في تحقّق الشي‌ء صحيحاً</w:t>
      </w:r>
      <w:bookmarkEnd w:id="515"/>
    </w:p>
    <w:p>
      <w:pPr>
        <w:pStyle w:val="BookText"/>
        <w:rPr/>
      </w:pPr>
      <w:r>
        <w:rPr>
          <w:rFonts w:ascii="Amiri" w:hAnsi="Amiri" w:eastAsia="Amiri" w:cs="Amiri"/>
          <w:color w:val="111111"/>
          <w:sz w:val="28"/>
          <w:sz w:val="28"/>
          <w:szCs w:val="28"/>
          <w:rtl w:val="true"/>
          <w:lang w:bidi="ar-SA"/>
        </w:rPr>
        <w:t>لا إشكال في أنَّ مورد جريان أصالة الصحّة إنّما هو فيما إذا شكّ في أنَّ العمل الكذائيّ هل وجد صحيحاً أم فاسداً، و أمّا إذا شكّ في ترتّب الأثر على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اخرى سوى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أصالة الصحّة لرفع هذا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شككنا في عروض البطلان على عمل بعد حدوثه صحيحاً لا تنفع أصالة الصحّة في بقاء صحّته و عدم عروض البطلان عليه، فإذا شككنا في عقد مُحقّق أنَّه وجد صحيحاً أو فاسداً تجري أصالة الصحّة فيه، سواءً شكّ في شرائط العقد، أو المُتعاملين، أو العوضين،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علم تحقّق الإيجاب صحيحاً، و شكّ في تعقّبه بالقبول، أو علم بوجود عقدٍ فضوليّ، و شكّ في تعقّبه بالإجازة، فلا معنى لجريان أصالة الصحّة؛ لأنَّ الشكّ لا يكون في فساد العقد أو فساد الإيجاب، بل في تحقّق الجزء المُتمّم له، و ليس القبول من شرائط صحّة الإيجاب، حتّى يكون الشكّ في صحّته، بل الشكّ إنّما هو في أصل وجود العقد، و قد عرفت أنَّ مجرى أصالة الصحّة إنّما هو العقد بعد تحقّقه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الحال في الشكّ في تعقّب العقد الفضوليّ بالإجازة؛ لأنَّ تعقّبه بها ليس من شرائط صحّته حتّى يكون مورد جريانها، فالعقد بلا إجازة صحيح؛ بمعنى أنَّه إذا تعقّبته إجازة تترتّب عليه الآثار، فصحّته بهذا المعنى معلومة، فالإجازة ليست من شرائط صحّته، بل من مُتمّمات أسباب النقل، و كذا التقابض في بيع الصرف و السلم</w:t>
      </w:r>
    </w:p>
    <w:p>
      <w:pPr>
        <w:pStyle w:val="BookText"/>
        <w:rPr/>
      </w:pPr>
      <w:r>
        <w:rPr>
          <w:rFonts w:ascii="Amiri" w:hAnsi="Amiri" w:eastAsia="Amiri" w:cs="Amiri"/>
          <w:color w:val="111111"/>
          <w:sz w:val="28"/>
          <w:sz w:val="28"/>
          <w:szCs w:val="28"/>
          <w:rtl w:val="true"/>
          <w:lang w:bidi="ar-SA"/>
        </w:rPr>
        <w:t>ليس من شرائط صحّة العقد، بل من مُتمّمات أسباب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تفرّق المُتعاملان قبله يعرضه البطلان، و قد عرفت أنَّ أصالة الصحّة لا تتكفّل عدم عروض البطلان على العمل، فلو صلّى صحيحاً و شككنا في تعقّب صلاته بالرياء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إبطال الرياء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أصالة الصحّة لإحراز عدم الرياء، أو لصحّة الصلاة، بل لا بدّ من التشبّث بسائر القواعد و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فأصالة الصحّة لا تجري في الشكّ في عروض المُبطل بعد وجود العمل صحيحاً، نعم تجري في الشكّ في عروض المُبطل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أصالة الصحّة في كلّ شي‌ءٍ بحسبه، كما أنَّ صحّة كلّ شي‌ءٍ بحسبه، فإذا شكّ في صحّة الإيجاب من حيث كونه عربيّاً أو كونه بصيغة الماضي مثلًا جرت أصالة الصحّة فيه؛ بمعنى أنَّه يترتّب الأثر عليه إذا تعقّبه القبول الصحيح و لو بالأصل، و كذا بالنسبة إلى القبول، و أمّا إذا شكّ في تعقّبه بالقبول، أو شكّ في تحقّق الإيجاب مع إحراز القبول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فيما إذا شكّ في صحّة العقد من جهة الشكّ في بلوغ أحد الطرفين، و قلنا بعدم جريانها في فعل المشكوك في بلوغه، و أردنا إجراءها بالنسبة إلى فعل البالغ، و ترتيب آثار العقد الصحيح؛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فعل البالغ تستلزم صحّة فعل الطرف، كما صرّح به الشيخ، و فرق بين ما إذا شكّ في صحّة المُعاملة من جهة كون أحد الطرفين بالغاً، و بين ما إذا شكّ في وجود الإيجاب أو القبول مع إحراز الآخر، فاجري الأصل في الأوّل دون الثاني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 الظاهر من حال المُسلم أو الفاعل العاقل البالغ عدم التصرّف الباطل و اللّغو، لو ينفع في ترتيب الأثر العقليّ كما أفاد في الأمر الثاني يكون بعينه جارياً</w:t>
      </w:r>
    </w:p>
    <w:p>
      <w:pPr>
        <w:pStyle w:val="BookText"/>
        <w:rPr/>
      </w:pPr>
      <w:r>
        <w:rPr>
          <w:rFonts w:ascii="Amiri" w:hAnsi="Amiri" w:eastAsia="Amiri" w:cs="Amiri"/>
          <w:color w:val="111111"/>
          <w:sz w:val="28"/>
          <w:sz w:val="28"/>
          <w:szCs w:val="28"/>
          <w:rtl w:val="true"/>
          <w:lang w:bidi="ar-SA"/>
        </w:rPr>
        <w:t xml:space="preserve">فيما إذا شكّ في أصل الإيجاب مع إحراز القبول </w:t>
      </w:r>
      <w:r>
        <w:rPr>
          <w:rStyle w:val="FootnoteAnchor"/>
          <w:rtl w:val="true"/>
        </w:rPr>
        <w:footnoteReference w:id="741"/>
      </w:r>
      <w:r>
        <w:rPr>
          <w:rFonts w:ascii="Amiri" w:hAnsi="Amiri" w:eastAsia="Amiri" w:cs="Amiri"/>
          <w:color w:val="111111"/>
          <w:sz w:val="28"/>
          <w:sz w:val="28"/>
          <w:szCs w:val="28"/>
          <w:rtl w:val="true"/>
          <w:lang w:bidi="ar-SA"/>
        </w:rPr>
        <w:t>فإنَّ القبول بلا إيجاب أيضاً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ينفع جريانها في صدور فعل من فاعل آخر، لا ينفع في إثبات صحّة فعل فاعل آخر؛ فإنَّ صحّة كلّ شي‌ءٍ بحسبه كما أفاد</w:t>
      </w:r>
      <w:r>
        <w:rPr>
          <w:rStyle w:val="FootnoteAnchor"/>
          <w:rtl w:val="true"/>
        </w:rPr>
        <w:footnoteReference w:id="742"/>
      </w:r>
      <w:r>
        <w:rPr>
          <w:rFonts w:ascii="Amiri" w:hAnsi="Amiri" w:eastAsia="Amiri" w:cs="Amiri"/>
          <w:color w:val="111111"/>
          <w:sz w:val="28"/>
          <w:sz w:val="28"/>
          <w:szCs w:val="28"/>
          <w:rtl w:val="true"/>
          <w:lang w:bidi="ar-SA"/>
        </w:rPr>
        <w:t>، فصحّة الإيجاب لا تتوقف على تعقّبه بقبول من شخص بالغ، كما لا تتوقف على صدور أصله منه، فالفرق بين الأمرين لا وجه معتدّ به له، و التفرقة بين ظهور الحال و أصالة الصحّة قد عرفت حالها</w:t>
      </w:r>
      <w:r>
        <w:rPr>
          <w:rStyle w:val="FootnoteAnchor"/>
          <w:rtl w:val="true"/>
        </w:rPr>
        <w:footnoteReference w:id="743"/>
      </w:r>
      <w:r>
        <w:rPr>
          <w:rFonts w:ascii="Amiri" w:hAnsi="Amiri" w:eastAsia="Amiri" w:cs="Amiri"/>
          <w:color w:val="111111"/>
          <w:sz w:val="28"/>
          <w:sz w:val="28"/>
          <w:szCs w:val="28"/>
          <w:rtl w:val="true"/>
          <w:lang w:bidi="ar-SA"/>
        </w:rPr>
        <w:t>، مع أنَّ ظهور الحال في المقامين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عدم جريان الأصل مع الشكّ في البلوغ لا يفيد الأصل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جعل من مصاديق ما عنون في الأمر الثالث ما لو ادّعى بائع الوقف وجود المُصحّح له، بل جعله أولى بعدم الجريان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أولى بعدم الجريان ما لو كان العقد في نفسه لو خُلّي و طبعه مبنيّاً على الفساد؛ بحيث يكون المُصحّح طارئاً عليه، كما لو ادّعى بائع الوقف وجود المُصحّح له، و كذا الراهن أو المُشتري من الفضوليّ إجازَة المُرتهن و المالك </w:t>
      </w:r>
      <w:r>
        <w:rPr>
          <w:rStyle w:val="FootnoteAnchor"/>
          <w:rtl w:val="true"/>
        </w:rPr>
        <w:footnoteReference w:id="74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بيع الوقف مع الشكّ في عروض المُصحّح له ليس من قبيل ما نحن فيه؛ لأنَّ الشكّ فيه إنّما هو في الصحّة و الفساد، أي في أنَّ البيع هل وقع صحيحاً حين حدوثه أو فاسداً، و منشأ الشكّ هو الشكّ في عروض المُصحّح له و عدمه؛ فإنَّ بيع الوقف مع عدم عروض المسوّغ له يقع باطلًا، لا صحيحاً تأهّلياً كبيع الفضوليّ و الراهن، فمسألة بيع الوقف داخلة في الأمر السابق؛ ممّا يكون الشكّ في قابليّة العوض</w:t>
      </w:r>
    </w:p>
    <w:p>
      <w:pPr>
        <w:pStyle w:val="BookText"/>
        <w:rPr/>
      </w:pPr>
      <w:r>
        <w:rPr>
          <w:rFonts w:ascii="Amiri" w:hAnsi="Amiri" w:eastAsia="Amiri" w:cs="Amiri"/>
          <w:color w:val="111111"/>
          <w:sz w:val="28"/>
          <w:sz w:val="28"/>
          <w:szCs w:val="28"/>
          <w:rtl w:val="true"/>
          <w:lang w:bidi="ar-SA"/>
        </w:rPr>
        <w:t>للنقل، و قد عرفت أنَّ أصالة الصحّة جارية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 السيّد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الأصل فيما إذا شكّ في صحّة بيع الناظر أو الموقوف عليه؛ من جهة الشكّ في عروض المسوّغ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يثبت المُسوّغ يجوز للبطون اللّاحقة الانتزاع من يد المُشتري، فهو كما لو باع شخص مال غيره مع عدم كونه في يده، و لم يعلم كونه وكيلًا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الموقوف عليه أو الناظر وجود المُسوّغ لا تكفي في الحكم بالصحّة، و لا يجوز مع عدم العلم به الشراء منهما؛ لأنَّ يدهما ليست كيد الدلّال المُدّعي للوكالة؛ فإنَّ يده مُستقلّة، و يدهما غير مُستقلّة؛ لأنّها في الحقيقة يد الوقف المفروض عدم جواز بيعه، فيدهما إنّما تنفع في كيفيّة التصرّفات التي هي مُقتضى الوقف، لا في مثل البيع الذي هو منافٍ و مُبطل له، فهي نظير يد الوَدَعيّ التي لا تنفع إلّا في الحفظ، لا في البيع، فإذا ادّعى الوكالة احتاج إلى الإثبات؛ و أنَّ يد الأمانة صارت يد الوكالة، و إلّا فالأصل بقاؤها على ما كانت عليه </w:t>
      </w:r>
      <w:r>
        <w:rPr>
          <w:rStyle w:val="FootnoteAnchor"/>
          <w:rtl w:val="true"/>
        </w:rPr>
        <w:footnoteReference w:id="745"/>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بيعه كبيع مال الغير مع عدم اليد ممنوع؛ لأنَّ يد الناظر و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وليّاً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مُعتبرة عند العُقلاء، و دعواهما مسموعة، فكيف تكون كلا يد؟</w:t>
      </w:r>
    </w:p>
    <w:p>
      <w:pPr>
        <w:pStyle w:val="BookText"/>
        <w:rPr/>
      </w:pPr>
      <w:r>
        <w:rPr>
          <w:rFonts w:ascii="Amiri" w:hAnsi="Amiri" w:eastAsia="Amiri" w:cs="Amiri"/>
          <w:color w:val="111111"/>
          <w:sz w:val="28"/>
          <w:sz w:val="28"/>
          <w:szCs w:val="28"/>
          <w:rtl w:val="true"/>
          <w:lang w:bidi="ar-SA"/>
        </w:rPr>
        <w:t>و دعوى كونها غير مُستقلّة ممنوعة، بل يدهما مُستقلّة، و ما دام كون الوقف بحاله يجب عليهما حفظه، و أنحاء التصرّفات المرتبطة به، و بالانتفاع منه على الوجه المشروع، و إذا احتاج إلى التغيير و التبديل مع عروض المسوّغ له تكون لهما الولاية على ذلك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يدهما في الحقيقة يد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ممّا لا محصّل له؛ لعدم اعتبار اليد للوقف على الملك الموقوف عرفاً، و لو فرض كون يدهما يد الوقف و لا تكون</w:t>
      </w:r>
    </w:p>
    <w:p>
      <w:pPr>
        <w:pStyle w:val="BookText"/>
        <w:rPr/>
      </w:pPr>
      <w:r>
        <w:rPr>
          <w:rFonts w:ascii="Amiri" w:hAnsi="Amiri" w:eastAsia="Amiri" w:cs="Amiri"/>
          <w:color w:val="111111"/>
          <w:sz w:val="28"/>
          <w:sz w:val="28"/>
          <w:szCs w:val="28"/>
          <w:rtl w:val="true"/>
          <w:lang w:bidi="ar-SA"/>
        </w:rPr>
        <w:t>إلّا لحفظه، لا لإبطاله، فمع عروض المُسوّغ لا يجوز لهما البيع؛ لصيرورتهما أجنبيين و هو كما ترى</w:t>
      </w:r>
    </w:p>
    <w:p>
      <w:pPr>
        <w:pStyle w:val="BookText"/>
        <w:rPr/>
      </w:pPr>
      <w:r>
        <w:rPr>
          <w:rFonts w:ascii="Amiri" w:hAnsi="Amiri" w:eastAsia="Amiri" w:cs="Amiri"/>
          <w:color w:val="111111"/>
          <w:sz w:val="28"/>
          <w:sz w:val="28"/>
          <w:szCs w:val="28"/>
          <w:rtl w:val="true"/>
          <w:lang w:bidi="ar-SA"/>
        </w:rPr>
        <w:t>و لو كان المُراد من كون اليد يد الوقف أنّها يد على المال الموقوف، فهو من قبيل المُصادرة، و من ذلك يعلم أنَّ تنظير يدهما بيد الوَدَعيّ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الصحّة و الفساد في بيع الوقف مُسبّب عن الشكّ في عروض المُسوّغ، فأصالة عدمه حاكمة على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Style w:val="FootnoteAnchor"/>
          <w:rtl w:val="true"/>
        </w:rPr>
        <w:footnoteReference w:id="746"/>
      </w:r>
      <w:r>
        <w:rPr>
          <w:rFonts w:ascii="Amiri" w:hAnsi="Amiri" w:eastAsia="Amiri" w:cs="Amiri"/>
          <w:color w:val="111111"/>
          <w:sz w:val="28"/>
          <w:sz w:val="28"/>
          <w:szCs w:val="28"/>
          <w:rtl w:val="true"/>
          <w:lang w:bidi="ar-SA"/>
        </w:rPr>
        <w:t xml:space="preserve">أنَّ مبنى أصالة الصحّة هو بناء العُقلاء فحينئذٍ لو قلنا بأنّها أمارة عُقلائيّة مبناها ترجيح الغلبة، و إلقاء احتمال الخلاف، فالأمارة القائمة على المُسبّب تكون رافعة لموضوع الأصل السببيّ؛ لأنَّ الأمارة على اللّازم أمارة على الملزوم، و هل يكون تقدّمها عليه على نحو الحكومة، أو الورود، أو الخروج موضوعاً؟ قد سبق الكلام في أمثاله في بابه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قلنا بأنّها أصل عُقلائيّ مبناها تقنين أرباب النفوذ في أوائل تمدّن البشر لرغد العيش، ثمَّ صارت ارتكازيّة، فلازم ذلك أن يكون الاستصحاب رادعاً لأصالة الصحّة الجارية في المُسبّب، فلو كان رادعاً في مورد يكون رادعاً مُطلقاً، و هو كما ترى</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في بعض المباحث السالفة</w:t>
      </w:r>
      <w:r>
        <w:rPr>
          <w:rStyle w:val="FootnoteAnchor"/>
          <w:rtl w:val="true"/>
        </w:rPr>
        <w:footnoteReference w:id="748"/>
      </w:r>
      <w:r>
        <w:rPr>
          <w:rFonts w:ascii="Amiri" w:hAnsi="Amiri" w:eastAsia="Amiri" w:cs="Amiri"/>
          <w:color w:val="111111"/>
          <w:sz w:val="28"/>
          <w:sz w:val="28"/>
          <w:szCs w:val="28"/>
          <w:rtl w:val="true"/>
          <w:lang w:bidi="ar-SA"/>
        </w:rPr>
        <w:t xml:space="preserve">أنَّ الأدلّة العامّة غير صالحة لردع العُقلاء عن ارتكازاتهم، خصوصاً في مثل هذا الأمر الذي يكون قطب رحى التمدّن، و لولاه لم يقم للمُسلمين سوق </w:t>
      </w:r>
      <w:r>
        <w:rPr>
          <w:rStyle w:val="FootnoteAnchor"/>
          <w:rtl w:val="true"/>
        </w:rPr>
        <w:footnoteReference w:id="749"/>
      </w:r>
      <w:r>
        <w:rPr>
          <w:rFonts w:ascii="Amiri" w:hAnsi="Amiri" w:eastAsia="Amiri" w:cs="Amiri"/>
          <w:color w:val="111111"/>
          <w:sz w:val="28"/>
          <w:sz w:val="28"/>
          <w:szCs w:val="28"/>
          <w:rtl w:val="true"/>
          <w:lang w:bidi="ar-SA"/>
        </w:rPr>
        <w:t xml:space="preserve">، و ستأتي </w:t>
      </w:r>
      <w:r>
        <w:rPr>
          <w:rStyle w:val="FootnoteAnchor"/>
          <w:rtl w:val="true"/>
        </w:rPr>
        <w:footnoteReference w:id="750"/>
      </w:r>
      <w:r>
        <w:rPr>
          <w:rFonts w:ascii="Amiri" w:hAnsi="Amiri" w:eastAsia="Amiri" w:cs="Amiri"/>
          <w:color w:val="111111"/>
          <w:sz w:val="28"/>
          <w:sz w:val="28"/>
          <w:szCs w:val="28"/>
          <w:rtl w:val="true"/>
          <w:lang w:bidi="ar-SA"/>
        </w:rPr>
        <w:t>تتمّة لذلك عند تعرّض الشيخ له إن شاء اللَّه</w:t>
      </w:r>
      <w:r>
        <w:rPr>
          <w:rFonts w:eastAsia="Amiri" w:cs="Amiri" w:ascii="Amiri" w:hAnsi="Amiri"/>
          <w:color w:val="111111"/>
          <w:sz w:val="28"/>
          <w:szCs w:val="28"/>
          <w:rtl w:val="true"/>
          <w:lang w:bidi="ar-SA"/>
        </w:rPr>
        <w:t>.</w:t>
      </w:r>
      <w:bookmarkStart w:id="516" w:name="pg2245_13121"/>
    </w:p>
    <w:p>
      <w:pPr>
        <w:pStyle w:val="Heading4"/>
        <w:numPr>
          <w:ilvl w:val="3"/>
          <w:numId w:val="1"/>
        </w:numPr>
        <w:rPr/>
      </w:pPr>
      <w:bookmarkStart w:id="517" w:name="__RefHeading___Toc1614255_3804643083"/>
      <w:bookmarkStart w:id="518" w:name="_Toc188"/>
      <w:bookmarkEnd w:id="516"/>
      <w:bookmarkEnd w:id="517"/>
      <w:r>
        <w:rPr>
          <w:rtl w:val="true"/>
        </w:rPr>
        <w:t>الأمر الخامس إنَّ جريان أصالة الصحّة بعد إحراز نفس العمل</w:t>
      </w:r>
      <w:bookmarkEnd w:id="518"/>
    </w:p>
    <w:p>
      <w:pPr>
        <w:pStyle w:val="BookText"/>
        <w:rPr/>
      </w:pPr>
      <w:r>
        <w:rPr>
          <w:rFonts w:ascii="Amiri" w:hAnsi="Amiri" w:eastAsia="Amiri" w:cs="Amiri"/>
          <w:color w:val="111111"/>
          <w:sz w:val="28"/>
          <w:sz w:val="28"/>
          <w:szCs w:val="28"/>
          <w:rtl w:val="true"/>
          <w:lang w:bidi="ar-SA"/>
        </w:rPr>
        <w:t>قد أشرنا سابقاً إلى أنَّ جريان أصالة الصحّة إنّما هو بعد إحراز نفس العمل؛ لأنَّ الشكّ في صحّة الشي‌ء و فساده فرع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جريانها موقوف على الفراغ من العمل؛ لأنّها جارية في أثنائه، بل و قبله لو كان منشأ للأثر، إذا علم أنَّه سيوجد و شكّ في إيجاده في موطنه صحيحاً أو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جريانها مُتأخّر عن إحراز نفس العمل في موطنه، فلو شكّ في وجود العمل في موطنه لا يكون مجرى الأصل؛ فإذا شكّ في أنَّ الآتي بصورة الصلاة يأتي بها أو يأتي بصورتها لغرض آخر، لا تجري أصالة الصحّة لإحراز كونها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باب العقود و الإيقاعات مع الشكّ في قصد عناوينها، فلو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 و شكّ في استعماله في المعنى الإنشائيّ أو الإخباريّ لا تحرز أصالة الصحّة نحو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في بعض الموارد اصول عقلائيّة تحرز موضوع أصالة الصحّة، فلو اختلف المُتعاقدان فادعى أحدهما عدم قصده للإنشاء، أو عدم الجدّ فيه لا يكون مبنى إحراز قصده و جدّه هو أصل الصحّة، لأنَّ الشكّ ليس في الصحّة و الفساد، و لو كانت الاصول العُقلائيّة الاخر محرِزة لأمثالهما لا ربط لها بأصالة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إحراز عنوان العمل لو شكّ في صحّته تكون أصالة الصحّة محرزة لها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حال فعل النائب، فإنَّ الشكّ فيه قد يكون من جهة الشكّ في إتيانه، و قد يكون من جهة الشكّ في قصده النيابة، و قد يكون من جهة الإخلال بشي‌ءٍ</w:t>
      </w:r>
    </w:p>
    <w:p>
      <w:pPr>
        <w:pStyle w:val="BookText"/>
        <w:rPr/>
      </w:pPr>
      <w:r>
        <w:rPr>
          <w:rFonts w:ascii="Amiri" w:hAnsi="Amiri" w:eastAsia="Amiri" w:cs="Amiri"/>
          <w:color w:val="111111"/>
          <w:sz w:val="28"/>
          <w:sz w:val="28"/>
          <w:szCs w:val="28"/>
          <w:rtl w:val="true"/>
          <w:lang w:bidi="ar-SA"/>
        </w:rPr>
        <w:t>معتبر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الجهتين الأوّلتين فلا إشكال في عدم إحرازهما بأصالة الصحّة؛ لعدم الشكّ في الصحّة و الفساد، فلا بدّ من إحرازهما بأمرٍ آخر، فهل يقبل قول النائب أم لا؟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إحراز إيجاد النائب العمل النيابيّ إذا شكّ في صحّته، فلا إشكال في جريان أصالة الصحّة، من غير فرق بينه و بين سائر الأعمال؛ لأنَّه فعل صادر من عاقل شكّ في صحّته و فساده، و هو موضوع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لفعل النائب عنوانين،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فعل من أفعاله،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فعل المنوب عنه، و لا جريان لأصالة الصحّة من هذه الحيثيّة؛ لأنَّ سقوط التكليف عن المنوب عنه بفعل النائب باعتبار أنَّه فعله، لا فعل النائب، فلا بدّ من إحراز الفعل الصحيح عنه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بيان كيفيّة اعتبار النيابة لدى العُقلاء حتّى يتّضح الأمر، و لا بأس بالإشارة إجمالًا إلى اعتبار الوكالة و الولاية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لدى العُقلاء عبارة عن تفويض الأمر إلى شخص و إيكاله إليه، فالفعل باعتبار أنَّه فعل صادر من الوكيل نافذ في حقّ المُوكّل؛ لأنَّه جعله سلطاناً عليه، فنفوذه عليه باعتبار إذنه، و إيكاله الأمر إليه لا باعتبار أنَّه فعل صادر من المُوكّل؛ لعدم صدوره منه، و نسبة الفعل إليه تكون بالتجوّز و التوسّع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الولاية عبارة عن نحو سلطنة تكون دائرتها بالنسبة إلى مواردها مُختلفة سعة و ضيقاً، أو أمر وضعيّ لازمه تلك السلطنة، فالوليّ على الصغير هو السلطان عليه، يتصرّف في أمُوره بما هو صلاحه، و الوليّ على البلد هو المُتصرّف فيه بما هو صلاحه</w:t>
      </w:r>
    </w:p>
    <w:p>
      <w:pPr>
        <w:pStyle w:val="BookText"/>
        <w:rPr/>
      </w:pPr>
      <w:r>
        <w:rPr>
          <w:rFonts w:ascii="Amiri" w:hAnsi="Amiri" w:eastAsia="Amiri" w:cs="Amiri"/>
          <w:color w:val="111111"/>
          <w:sz w:val="28"/>
          <w:sz w:val="28"/>
          <w:szCs w:val="28"/>
          <w:rtl w:val="true"/>
          <w:lang w:bidi="ar-SA"/>
        </w:rPr>
        <w:t>و مُقتضى سياسته، و الوليّ من قبل اللَّه على الناس هو السلطان عليهم يتصرّف فيهم بما هو صلاحهم، و بما هو مقتضى السياسة الدينيّة و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فالولاية عبارة عن أمر وضعيّ اعتباريّ لدى العُقلاء، يتبعها جواز التصرّف في حيطتها، فالفعل الصادر من الوليّ و الواليّ باعتبار أنَّه فعل صادر من السلطان نافذ على المُسلّط عليه و المولّى عليه، لا باعتبار أنَّه فعله أو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النيابة عبارة عن قيام شخص مقام شخص آخر في نوع من الأفعال، يكون حقّها مباشرة المنوب عنه لدى الاختيار، كما لو قام مجلس سلام عامّ للسلطان، و تكون وظيفة أركان دولته و شرفاء مملكته الحضور فيه لمراسم السلام، و اتّفق عذر لبعضهم، فأرسل شخصاً مُناسباً لمقام السلطنة قائماً مقامه و نائباً منابه في تشريفات السلام، فإنَّه يعدّ لدى العُقلاء مرتبة من حضوره بوجوده التنزيليّ، و يصير لدى السلطان مُقرّباً، و يكون ذاك العمل عند العُذر مقبولًا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فالوكالة تكون في العقود و الإيقاعات ممّا لا يكون لخصوص المُباشر دخالة في تحقّقها، و لا تكون في العبادات، كما لا يقبل مجلس السلام الوكالة، و النيابة تكون في مثل العبادات التي بمنزلة الحضور في مجلس السلطان، فلا تجوز الوكالة في الحجّ و الصلاة؛ لأنَّ الإتيان بالعبادات ليس من شئون سلطنة الشخص و نفوذه، بل من قبيل الحضور في مجلس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فالنيابة ليست من قبيل تفويض الأمر، بل من قبيل الإطاعة بالوجود التنزيليّ، فالفعل الصادر من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 وجوداً تنزيليّاً للمنوب عنه و لو بالتوسّع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لحصول القرب لدى المولى لا بما أنَّ الفعل فعله، بل بما أنَّه صادر ممّن كان نازلًا منزلته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جريان أصالة الصحّة فيما إذا شكّ في الصحّة</w:t>
      </w:r>
    </w:p>
    <w:p>
      <w:pPr>
        <w:pStyle w:val="BookText"/>
        <w:rPr/>
      </w:pPr>
      <w:r>
        <w:rPr>
          <w:rFonts w:ascii="Amiri" w:hAnsi="Amiri" w:eastAsia="Amiri" w:cs="Amiri"/>
          <w:color w:val="111111"/>
          <w:sz w:val="28"/>
          <w:sz w:val="28"/>
          <w:szCs w:val="28"/>
          <w:rtl w:val="true"/>
          <w:lang w:bidi="ar-SA"/>
        </w:rPr>
        <w:t>و الفساد بعد إحراز نفس العمل بعنوانه في فعل الوكيل و الوليّ؛ لأنَّه فعلهما، و نفوذه في المُوكّل باعتبار إذنه و إيكال الأمر إليه، و في المولّى عليه باعتبار نحو سلطنة عليه، و كذا الحال في النائب؛ لأنَّ النيابة و إن كان اعتبارها غيرهما، لكن لا إشكال في أنَّ الفعل صادر من النائب حقيقة، و باعتبار صدوره منه و قيامه مقام المنوب عنه يسقط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ادّعاه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فعله لمَّا كان فعلًا له يسقط عنه </w:t>
      </w:r>
      <w:r>
        <w:rPr>
          <w:rStyle w:val="FootnoteAnchor"/>
          <w:rtl w:val="true"/>
        </w:rPr>
        <w:footnoteReference w:id="752"/>
      </w:r>
      <w:r>
        <w:rPr>
          <w:rFonts w:ascii="Amiri" w:hAnsi="Amiri" w:eastAsia="Amiri" w:cs="Amiri"/>
          <w:color w:val="111111"/>
          <w:sz w:val="28"/>
          <w:sz w:val="28"/>
          <w:szCs w:val="28"/>
          <w:rtl w:val="true"/>
          <w:lang w:bidi="ar-SA"/>
        </w:rPr>
        <w:t>،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أصالة الصحّة إلّا في فعل الغير، و فعل النائب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الفعل فعل الغير واضح، و مُجرّد أنَّه يعدّ مرتبة من فعل المنوب عنه بالتوسّع لا يُوجب عدم جريان الأصل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التفكيك بين الحيثيّتين كما أفاده رحمه اللَّه كما ترى فإنَّ النيابة إن اقتضت أن يكون الفعل الصادر من النائب فعل المنوب عنه، و يكون النائب بما أنَّه نائب غير مُستقلّ في الفاعليّة، فلا تكون له جهة فاعليّة، و لا لفعله جهة صدور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اقتضت أن يكون الفعل الصادر من النائب موجباً لسقوطه منه؛ لكونه وجوداً تنزيليّاً له توسّعاً، و يكون فعله بوجه من التوسّع فعله، فلا وجه لعدم جريان الأصل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الواقف بعرفات و المشعر، و المطوف بالبيت العتيق و المُصلّي خلف مقام إبراهيم عليه السلام ليس النائب، بل هذه الأفعال أفعال المريض المُزمن في بلده، فلا تجري فيها أصالة الصحّة باعتبار أنّها فعله لا فعل الغير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فتفكيك الجهتين ممّا لا يساعد عليه الاعتبار، بل يكون اعتبار النيابة بما ذكره من صيرورة الفعل بعد قصد النيابة و البدليّة قائماً بالمنوب عنه؛ لكون الفاعل آلة له، مع كونه فعلًا من أفعال النائب نفسه، لا المنوب عنه مُتنافيين، كما لا يخفى</w:t>
      </w:r>
      <w:r>
        <w:rPr>
          <w:rFonts w:eastAsia="Amiri" w:cs="Amiri" w:ascii="Amiri" w:hAnsi="Amiri"/>
          <w:color w:val="111111"/>
          <w:sz w:val="28"/>
          <w:szCs w:val="28"/>
          <w:rtl w:val="true"/>
          <w:lang w:bidi="ar-SA"/>
        </w:rPr>
        <w:t>.</w:t>
      </w:r>
      <w:bookmarkStart w:id="519" w:name="pg2245_13125"/>
    </w:p>
    <w:p>
      <w:pPr>
        <w:pStyle w:val="BookText"/>
        <w:rPr/>
      </w:pPr>
      <w:bookmarkEnd w:id="519"/>
      <w:r>
        <w:rPr>
          <w:rFonts w:ascii="Amiri" w:hAnsi="Amiri" w:eastAsia="Amiri" w:cs="Amiri"/>
          <w:color w:val="111111"/>
          <w:sz w:val="28"/>
          <w:sz w:val="28"/>
          <w:szCs w:val="28"/>
          <w:rtl w:val="true"/>
          <w:lang w:bidi="ar-SA"/>
        </w:rPr>
        <w:t>و أمّا لزوم مراعاة النائب تكليف نفسه في بعض الجهات، كالجهر و الإخفات و الستر، و مُراعاة تكليف المنوب عنه في نوع التكليف مثل القصر و الإتمام، و القِران و التمتّع، فليس من أجل أنَّه رُوعيت في الفعل جهتان؛ جهة النيابة، وجهة اللّانيابة؛ فإنَّه لا وجه لاعتبار اللانيابة في الفعل الصادر من النائب بما أنَّه 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لأجل أنَّه استنيب لقيامه مقام المنوب عنه فيما يجب عليه؛ فإذا كان عليه حجّ التمتّع و صلاة التمام لا معنى للإتيان بغيرهما ممّا لا يكون نائباً فيه، و مراعاة تكليف نفسه في الشرائط و الموانع لأجل أنَّ الفعل فعله، لا فعل المنوب عنه كما تقدّم، فلا بدّ من مُراعاة ما اشترط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أصالة الصحّة في فعل النائب فيما يكون الشكّ في الصحّة ممّا لا مانع منه، و لا يعتبر فيه عدالة النائب من هذه الحيثيّة، و اعتبارها من حيثيّة اخرى على فرضه غير مُرتبطٍ بما نحن بصدده</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614257_3804643083"/>
      <w:bookmarkStart w:id="521" w:name="_Toc189"/>
      <w:bookmarkEnd w:id="520"/>
      <w:r>
        <w:rPr>
          <w:rtl w:val="true"/>
        </w:rPr>
        <w:t>الأمر السادس عدم حُجّية مُثبتات أصالة الصحّة</w:t>
      </w:r>
      <w:bookmarkEnd w:id="521"/>
    </w:p>
    <w:p>
      <w:pPr>
        <w:pStyle w:val="BookText"/>
        <w:rPr/>
      </w:pPr>
      <w:r>
        <w:rPr>
          <w:rFonts w:ascii="Amiri" w:hAnsi="Amiri" w:eastAsia="Amiri" w:cs="Amiri"/>
          <w:color w:val="111111"/>
          <w:sz w:val="28"/>
          <w:sz w:val="28"/>
          <w:szCs w:val="28"/>
          <w:rtl w:val="true"/>
          <w:lang w:bidi="ar-SA"/>
        </w:rPr>
        <w:t>لا إشكال في عدم حُجّية مُثبتات أصالة الصحّة؛ لعدم الدليل عليها، لأنَّ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العمدة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 بالنسبة إليها، فالثابت من بنائهم ليس إلّا ترتيب آثار صحّة الفعل، فإذا شكّ في صحّة صلاة من جهة الشكّ في الطهارة تترتّب عليها آثار الصحّة، فيقتدى بها، لكن لا يثبت بها كون المُصلّي على وضوء أو غُسل، فلا مانع من إجراء استصحاب الحدث لو كان له أثر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شكّ في أنَّ الشراء الصادر من الغير كان بما لا يملك، أو بعين من أعيان</w:t>
      </w:r>
    </w:p>
    <w:p>
      <w:pPr>
        <w:pStyle w:val="BookText"/>
        <w:rPr/>
      </w:pPr>
      <w:r>
        <w:rPr>
          <w:rFonts w:ascii="Amiri" w:hAnsi="Amiri" w:eastAsia="Amiri" w:cs="Amiri"/>
          <w:color w:val="111111"/>
          <w:sz w:val="28"/>
          <w:sz w:val="28"/>
          <w:szCs w:val="28"/>
          <w:rtl w:val="true"/>
          <w:lang w:bidi="ar-SA"/>
        </w:rPr>
        <w:t xml:space="preserve">ماله يحكم بصحّة الشراء، و تملّك المُشتري المبيع، و لا يثبت بذلك تعلّق البيع على شي‌ءٍ من أعيان ماله، و يجري استصحاب بقاء الأعيان على ملكه، و لا إشكال فيه من جهة التفكيك في الآثار ظاهراً، و هو ليس بعزيز، خصوصاً في كتاب القضاء و كيفيّة تشخيص المدّعي و المُنكر، فراجع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فالإشكال على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جريان أصالة الصحّة مُستلزم للحكم بدخول المبيع في ملك المشتري، من دون أن يدخل في ملك البائع ما يقابله </w:t>
      </w:r>
      <w:r>
        <w:rPr>
          <w:rStyle w:val="FootnoteAnchor"/>
          <w:rtl w:val="true"/>
        </w:rPr>
        <w:footnoteReference w:id="754"/>
      </w:r>
      <w:r>
        <w:rPr>
          <w:rFonts w:ascii="Amiri" w:hAnsi="Amiri" w:eastAsia="Amiri" w:cs="Amiri"/>
          <w:color w:val="111111"/>
          <w:sz w:val="28"/>
          <w:sz w:val="28"/>
          <w:szCs w:val="28"/>
          <w:rtl w:val="true"/>
          <w:lang w:bidi="ar-SA"/>
        </w:rPr>
        <w:t xml:space="preserve">كما ترى ليس بشي‌ءٍ إذا اقتضت الاصول في مقام الظاهر، كما التزم المُستشكل في قاعدة التجاوز مع كونها من الاصول المُحرزة عنده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من هذه الجهة، نعم قد يحصل علم إجماليّ في بعض المقامات، و هو غير مُرتبط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مُثبتات أصل الصحّة ليست بحُجّة؛ لعدم بناء العُقلاء إلّا على المعاملة بالصحّة مع العمل الصادر في الفاعل، و أمّا ترتيب آثار اللّوازم فلا، و لا فرق في بناء العُقلاء بين اللوازم و الآثار الشرعيّة، و غيرها من العقليّة و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ترتيب الآثار الشرعيّة و لو مع الواسطة ليس لأجل بناء العُقلاء، و لا لإطلاق دليل الأصل، أو قيام الإجماع عليه دون غيرها؛ لعدم الفرق لدى العُقلاء بين لازم و لازم، و ليس دليل لفظيّ يؤخذ بإطلاقه، و لا إجماع في الباب</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لأجل ما ذكرنا في مبحث مُثبتات الاستصحاب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دليله لا يتكفّل إلّا لإحراز موضوع كبرى شرعيّة، فتنطبق عليه الكبرى، و إذا كانت الآثار الشرعيّة</w:t>
      </w:r>
      <w:bookmarkStart w:id="522" w:name="pg2245_13127"/>
    </w:p>
    <w:p>
      <w:pPr>
        <w:pStyle w:val="BookText"/>
        <w:rPr/>
      </w:pPr>
      <w:bookmarkEnd w:id="522"/>
      <w:r>
        <w:rPr>
          <w:rFonts w:ascii="Amiri" w:hAnsi="Amiri" w:eastAsia="Amiri" w:cs="Amiri"/>
          <w:color w:val="111111"/>
          <w:sz w:val="28"/>
          <w:sz w:val="28"/>
          <w:szCs w:val="28"/>
          <w:rtl w:val="true"/>
          <w:lang w:bidi="ar-SA"/>
        </w:rPr>
        <w:t>مُترتّبة تكون كلّ كبرى محرزة لموضوع كبرى 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ما نحن فيه أيضاً لا تتكفّل أصالة الصحّة إلّا صحّه نفس العمل، فإذا انسلك تحت كبرى شرعيّة يترتّب عليه الأثر، فأصالة الصحّة في الطلاق مثلًا لا تثبت بها إلّا صحّة الطلاق، لكن إذا صحّ الطلاق تنسلك المرأة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فإذا خرجت من العدّة تنطبق عليها كبرى شرعيّة اخرى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التفكيك بين اللوازم الشرعيّة و غيرها في باب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إطلاق لدليل فيه، و يكون الدليل عليه هو البناء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يؤيّد و يؤكّد ما ذكرنا في الاستصحاب </w:t>
      </w:r>
      <w:r>
        <w:rPr>
          <w:rStyle w:val="FootnoteAnchor"/>
          <w:rtl w:val="true"/>
        </w:rPr>
        <w:footnoteReference w:id="758"/>
      </w:r>
      <w:r>
        <w:rPr>
          <w:rFonts w:ascii="Amiri" w:hAnsi="Amiri" w:eastAsia="Amiri" w:cs="Amiri"/>
          <w:color w:val="111111"/>
          <w:sz w:val="28"/>
          <w:sz w:val="28"/>
          <w:szCs w:val="28"/>
          <w:rtl w:val="true"/>
          <w:lang w:bidi="ar-SA"/>
        </w:rPr>
        <w:t>في وجه ترتيب الآثار الشرعيّة و لو بألف واسطة، دون غيرها، فتدبّر جيّداً</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614259_3804643083"/>
      <w:bookmarkStart w:id="524" w:name="_Toc190"/>
      <w:bookmarkEnd w:id="523"/>
      <w:r>
        <w:rPr>
          <w:rtl w:val="true"/>
        </w:rPr>
        <w:t>الأمر السابع موارد تقدّم أصالة الصحّة على الاستصحاب و وجهه</w:t>
      </w:r>
      <w:bookmarkEnd w:id="52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تقدّم أصالة الصحّة على استصحاب عدم الانتقال و أمثاله إذ لم يكن في البين أصل موضوعيّ، و أمّا معه فقد وقع الكلام فيه </w:t>
      </w:r>
      <w:r>
        <w:rPr>
          <w:rStyle w:val="FootnoteAnchor"/>
          <w:rtl w:val="true"/>
        </w:rPr>
        <w:footnoteReference w:id="759"/>
      </w:r>
      <w:r>
        <w:rPr>
          <w:rFonts w:ascii="Amiri" w:hAnsi="Amiri" w:eastAsia="Amiri" w:cs="Amiri"/>
          <w:color w:val="111111"/>
          <w:sz w:val="28"/>
          <w:sz w:val="28"/>
          <w:szCs w:val="28"/>
          <w:rtl w:val="true"/>
          <w:lang w:bidi="ar-SA"/>
        </w:rPr>
        <w:t>، و كذا وقع الكلام في وجه تقدّمها عليه هل هو الحكومة، أو التخصيص، أو غيرهما</w:t>
      </w:r>
      <w:r>
        <w:rPr>
          <w:rStyle w:val="FootnoteAnchor"/>
          <w:rtl w:val="true"/>
        </w:rPr>
        <w:footnoteReference w:id="7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 مبنى حُجّيتها كان بناء العُقلاء، كما مرّ مراراً، و لا تكون ممّا انفردت بحُجّيتها شريعة الإسلام، بل و لا سائر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الصحّة و الفساد لا تكونان بين العُقلاء، بل هما من الوضعيّات الشرعيّة ففي غاية السقوط؛ لأنَّ الصحّة ليست إلّا اعتباراً من الاعتبارات الوضعيّة العُقلائيّة، فتتداول الصحّة و الفساد بينهم، كانوا مُنتحلين بشريعة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أحداً لو سرق مال غيره و باعه، فاطّلع عليه الحاكم العرفيّ الغير المُنتحل بدين يأخذ العين من المُشتري، و يردّها إلى مالكها، و يأخذ الثمن من السارق، و يردّه إلى مالكه، و ليس ذلك إلّا لحكمه بفساد المُعاملة، بخلاف ما لو وقعت المُعاملة بين المالكين، و ليست الصحّة و الفساد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ترى أنَّ لكلّ قوم نكاحاً بقواعد مرسومة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الطوائف 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الزنا و النكاح بين جميع الطوائف مُختلفين، و نكاح امرأة الغير باطل لدى غير المنتحلين بديانة أيضاً، نعم يكون قانون الزواج مُختلفاً بين الطوائف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اختلافه يكون النكاح الصحيح ما طابق القانون، و الباطل ما خالفه، فتكون الصحّة و الفساد من الأحكام العُقلائيّة، كأصالة الصحّة، و شريعة الإسلام على صادعها السلام قد بدأت في زمانٍ كانت الصحّة و الفساد و أصالة الصحّة رائجة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اللّائق بالبحث هاهنا أنَّ دليل الاستصحاب و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يصلح أن يكون رادعاً لبناء العُقلاء عن العمل بأصالة الصحّة أم لا؟ و قد أشرنا سابقاً</w:t>
      </w:r>
      <w:r>
        <w:rPr>
          <w:rStyle w:val="FootnoteAnchor"/>
          <w:rtl w:val="true"/>
        </w:rPr>
        <w:footnoteReference w:id="761"/>
      </w:r>
      <w:r>
        <w:rPr>
          <w:rFonts w:ascii="Amiri" w:hAnsi="Amiri" w:eastAsia="Amiri" w:cs="Amiri"/>
          <w:color w:val="111111"/>
          <w:sz w:val="28"/>
          <w:sz w:val="28"/>
          <w:szCs w:val="28"/>
          <w:rtl w:val="true"/>
          <w:lang w:bidi="ar-SA"/>
        </w:rPr>
        <w:t>إلى عدم صُلوح مثله للرادعيّة، فالعمدة هو مُلاحظة نطاق دائرة بناء العُقلاء، فقد عرفته في بعض الامور السالفة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 أصالة الصحّة ليس من أجل التعارض بينها و بينه بدواً، و التقدّم بحكومة</w:t>
      </w:r>
    </w:p>
    <w:p>
      <w:pPr>
        <w:pStyle w:val="BookText"/>
        <w:rPr/>
      </w:pPr>
      <w:r>
        <w:rPr>
          <w:rFonts w:ascii="Amiri" w:hAnsi="Amiri" w:eastAsia="Amiri" w:cs="Amiri"/>
          <w:color w:val="111111"/>
          <w:sz w:val="28"/>
          <w:sz w:val="28"/>
          <w:szCs w:val="28"/>
          <w:rtl w:val="true"/>
          <w:lang w:bidi="ar-SA"/>
        </w:rPr>
        <w:t>أو تخصيص أو غيرهما، بل تكون أدلّة الاستصحاب غير صالحة للردع عن بناء العُقلاء فيما تحقّق بناؤهم؛ لأنّهم في العمل على أصالة الصحّة، و ترتيب آثار الصحّة على المُعاملات و العبادات ارتكازاً لا يرون أنفسهم شاكّين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قاطعون؛ فإنَّه خلاف الضرورة؛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يكونون غافلي الذهن عن أنَّ ترتيب آثار الصحّة عمل بالشكّ، فلا بدّ في صرفهم عن بنائهم من دليل صريح يردعهم عنه، و لا يصلح مُجرّد إطلاق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للردع عن طريقتهم المألوفة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لم تكن هذه الكبريات المُلقاة من الأئمّة إلى أصحابهم مُوجبة لانقداح مثل ذلك في أذهانهم، و إلّا كانوا يسألون عنه، مع أنّهم كانوا يعملون على أصالة الصحّة ليلًا و نهاراً، مع ورود مثل هذه الكبريات، و هذا واضح جدّاً لدى التأمّل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تكون أصالة الصحّة خارجة عن نقض اليقين بالشكّ موضوعاً لدى العُقلاء، فما أفادوه في المقام من حكومتها على الاستصحاب، أو تخصيص دليل الأصل بها</w:t>
      </w:r>
      <w:r>
        <w:rPr>
          <w:rStyle w:val="FootnoteAnchor"/>
          <w:rtl w:val="true"/>
        </w:rPr>
        <w:footnoteReference w:id="763"/>
      </w:r>
      <w:r>
        <w:rPr>
          <w:rFonts w:ascii="Amiri" w:hAnsi="Amiri" w:eastAsia="Amiri" w:cs="Amiri"/>
          <w:color w:val="111111"/>
          <w:sz w:val="28"/>
          <w:sz w:val="28"/>
          <w:szCs w:val="28"/>
          <w:rtl w:val="true"/>
          <w:lang w:bidi="ar-SA"/>
        </w:rPr>
        <w:t>لعلّه في غير محلّه، و الحمد للَّه أوّلًا و آخراً</w:t>
      </w:r>
      <w:r>
        <w:rPr>
          <w:rFonts w:eastAsia="Amiri" w:cs="Amiri" w:ascii="Amiri" w:hAnsi="Amiri"/>
          <w:color w:val="111111"/>
          <w:sz w:val="28"/>
          <w:szCs w:val="28"/>
          <w:rtl w:val="true"/>
          <w:lang w:bidi="ar-SA"/>
        </w:rPr>
        <w:t>.</w:t>
      </w:r>
      <w:bookmarkStart w:id="525" w:name="pg2245_13130"/>
    </w:p>
    <w:p>
      <w:pPr>
        <w:pStyle w:val="Heading3"/>
        <w:numPr>
          <w:ilvl w:val="2"/>
          <w:numId w:val="1"/>
        </w:numPr>
        <w:rPr/>
      </w:pPr>
      <w:bookmarkStart w:id="526" w:name="__RefHeading___Toc1614261_3804643083"/>
      <w:bookmarkStart w:id="527" w:name="_Toc191"/>
      <w:bookmarkEnd w:id="525"/>
      <w:bookmarkEnd w:id="526"/>
      <w:r>
        <w:rPr>
          <w:rtl w:val="true"/>
        </w:rPr>
        <w:t>المبحث الرابع حال الاستصحاب مع قاعدة القرعة</w:t>
      </w:r>
      <w:bookmarkEnd w:id="527"/>
    </w:p>
    <w:p>
      <w:pPr>
        <w:pStyle w:val="Heading4"/>
        <w:numPr>
          <w:ilvl w:val="3"/>
          <w:numId w:val="1"/>
        </w:numPr>
        <w:rPr/>
      </w:pPr>
      <w:bookmarkStart w:id="528" w:name="__RefHeading___Toc1614263_3804643083"/>
      <w:bookmarkStart w:id="529" w:name="_Toc192"/>
      <w:bookmarkEnd w:id="528"/>
      <w:r>
        <w:rPr>
          <w:rtl w:val="true"/>
        </w:rPr>
        <w:t>اشارة</w:t>
      </w:r>
      <w:bookmarkEnd w:id="52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بعرض بعض الجهات فيها، حتّى يتّضح حالها و حاله معها، و يتمّ ذلك في ضمن امور</w:t>
      </w:r>
      <w:r>
        <w:rPr>
          <w:rFonts w:eastAsia="Amiri" w:cs="Amiri" w:ascii="Amiri" w:hAnsi="Amiri"/>
          <w:color w:val="111111"/>
          <w:sz w:val="28"/>
          <w:szCs w:val="28"/>
          <w:rtl w:val="true"/>
          <w:lang w:bidi="ar-SA"/>
        </w:rPr>
        <w:t>:</w:t>
      </w:r>
      <w:bookmarkStart w:id="530" w:name="pg2245_13131"/>
    </w:p>
    <w:p>
      <w:pPr>
        <w:pStyle w:val="Heading4"/>
        <w:numPr>
          <w:ilvl w:val="3"/>
          <w:numId w:val="1"/>
        </w:numPr>
        <w:rPr/>
      </w:pPr>
      <w:bookmarkStart w:id="531" w:name="__RefHeading___Toc1614265_3804643083"/>
      <w:bookmarkStart w:id="532" w:name="_Toc193"/>
      <w:bookmarkEnd w:id="530"/>
      <w:bookmarkEnd w:id="531"/>
      <w:r>
        <w:rPr>
          <w:rtl w:val="true"/>
        </w:rPr>
        <w:t>الأمر الأوّل في ذكر نُبذةٍ من الأخبار الواردة فيها و عدّ بعض موارد ورد فيها النصّ بالخصوص</w:t>
      </w:r>
      <w:bookmarkEnd w:id="532"/>
    </w:p>
    <w:p>
      <w:pPr>
        <w:pStyle w:val="BookText"/>
        <w:rPr/>
      </w:pPr>
      <w:r>
        <w:rPr>
          <w:rFonts w:ascii="Amiri" w:hAnsi="Amiri" w:eastAsia="Amiri" w:cs="Amiri"/>
          <w:color w:val="111111"/>
          <w:sz w:val="28"/>
          <w:sz w:val="28"/>
          <w:szCs w:val="28"/>
          <w:rtl w:val="true"/>
          <w:lang w:bidi="ar-SA"/>
        </w:rPr>
        <w:t>فمن الأخبار العامّة</w:t>
      </w:r>
    </w:p>
    <w:p>
      <w:pPr>
        <w:pStyle w:val="BookText"/>
        <w:rPr/>
      </w:pPr>
      <w:r>
        <w:rPr>
          <w:rFonts w:ascii="Amiri" w:hAnsi="Amiri" w:eastAsia="Amiri" w:cs="Amiri"/>
          <w:color w:val="111111"/>
          <w:sz w:val="28"/>
          <w:sz w:val="28"/>
          <w:szCs w:val="28"/>
          <w:rtl w:val="true"/>
          <w:lang w:bidi="ar-SA"/>
        </w:rPr>
        <w:t xml:space="preserve">ما رواه الشيخ بإسناده عن محمّد بن حكيم </w:t>
      </w:r>
      <w:r>
        <w:rPr>
          <w:rStyle w:val="FootnoteAnchor"/>
          <w:rtl w:val="true"/>
        </w:rPr>
        <w:footnoteReference w:id="7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تخطئ و تصيب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اللَّه به فليس بمخطئ</w:t>
      </w:r>
      <w:r>
        <w:rPr>
          <w:rFonts w:eastAsia="Amiri" w:cs="Amiri" w:ascii="Amiri" w:hAnsi="Amiri"/>
          <w:color w:val="111111"/>
          <w:sz w:val="28"/>
          <w:szCs w:val="28"/>
          <w:rtl w:val="true"/>
          <w:lang w:bidi="ar-SA"/>
        </w:rPr>
        <w:t>)</w:t>
      </w:r>
    </w:p>
    <w:p>
      <w:pPr>
        <w:pStyle w:val="BookText"/>
        <w:rPr/>
      </w:pP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بطريقين صحيحين عنه </w:t>
      </w:r>
      <w:r>
        <w:rPr>
          <w:rStyle w:val="FootnoteAnchor"/>
          <w:rtl w:val="true"/>
        </w:rPr>
        <w:footnoteReference w:id="766"/>
      </w:r>
      <w:r>
        <w:rPr>
          <w:rFonts w:ascii="Amiri" w:hAnsi="Amiri" w:eastAsia="Amiri" w:cs="Amiri"/>
          <w:color w:val="111111"/>
          <w:sz w:val="28"/>
          <w:sz w:val="28"/>
          <w:szCs w:val="28"/>
          <w:rtl w:val="true"/>
          <w:lang w:bidi="ar-SA"/>
        </w:rPr>
        <w:t xml:space="preserve">، و الظاهر أنَّه الخثعميّ الذي لا يخلو عن الحسن، بل لا تبعد وثاقته؛ لكونه صاحب الأصل، و لكثرة نقل المشايخ بل أصحاب الإجماع عنه </w:t>
      </w:r>
      <w:r>
        <w:rPr>
          <w:rStyle w:val="FootnoteAnchor"/>
          <w:rtl w:val="true"/>
        </w:rPr>
        <w:footnoteReference w:id="767"/>
      </w:r>
      <w:r>
        <w:rPr>
          <w:rFonts w:ascii="Amiri" w:hAnsi="Amiri" w:eastAsia="Amiri" w:cs="Amiri"/>
          <w:color w:val="111111"/>
          <w:sz w:val="28"/>
          <w:sz w:val="28"/>
          <w:szCs w:val="28"/>
          <w:rtl w:val="true"/>
          <w:lang w:bidi="ar-SA"/>
        </w:rPr>
        <w:t>، و لو كان فيها ضعف فهو مُنجبر باعتماد الأصحاب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أمرٍ مُشكل مجهول يشتبه الحكم فيه فينبغي أن تستعمل فيه القرعة؛</w:t>
      </w:r>
    </w:p>
    <w:p>
      <w:pPr>
        <w:pStyle w:val="BookText"/>
        <w:rPr/>
      </w:pPr>
      <w:r>
        <w:rPr>
          <w:rFonts w:ascii="Amiri" w:hAnsi="Amiri" w:eastAsia="Amiri" w:cs="Amiri"/>
          <w:color w:val="111111"/>
          <w:sz w:val="28"/>
          <w:sz w:val="28"/>
          <w:szCs w:val="28"/>
          <w:rtl w:val="true"/>
          <w:lang w:bidi="ar-SA"/>
        </w:rPr>
        <w:t>لما روي عن أبي الحسن موسى، و عن غيره من آبائه و أبنائه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تخطئ و تصيب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اللَّه به فليس بمخطئ</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عين عبارة الحديث، و الظاهر منه أنَّه عثر على روايات أخر من</w:t>
      </w:r>
    </w:p>
    <w:p>
      <w:pPr>
        <w:pStyle w:val="BookText"/>
        <w:rPr/>
      </w:pPr>
      <w:r>
        <w:rPr>
          <w:rFonts w:ascii="Amiri" w:hAnsi="Amiri" w:eastAsia="Amiri" w:cs="Amiri"/>
          <w:color w:val="111111"/>
          <w:sz w:val="28"/>
          <w:sz w:val="28"/>
          <w:szCs w:val="28"/>
          <w:rtl w:val="true"/>
          <w:lang w:bidi="ar-SA"/>
        </w:rPr>
        <w:t>سائر الأئمّة عليهم السلام بهذا المضمون، و لم نعثر عليها، و يمكن أن يكون نظره إلى سائر الروايات الواردة في الأبواب المُختلفة، فاستفاد منها بإلغاء الخصوصيّة أنَّ كلّ مجهولٍ يُشتبه فيه الحكم ففيه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القرعة مذهبنا في كلّ أمرٍ مجهول </w:t>
      </w:r>
      <w:r>
        <w:rPr>
          <w:rStyle w:val="FootnoteAnchor"/>
          <w:rtl w:val="true"/>
        </w:rPr>
        <w:footnoteReference w:id="769"/>
      </w:r>
      <w:r>
        <w:rPr>
          <w:rFonts w:ascii="Amiri" w:hAnsi="Amiri" w:eastAsia="Amiri" w:cs="Amiri"/>
          <w:color w:val="111111"/>
          <w:sz w:val="28"/>
          <w:sz w:val="28"/>
          <w:szCs w:val="28"/>
          <w:rtl w:val="true"/>
          <w:lang w:bidi="ar-SA"/>
        </w:rPr>
        <w:t xml:space="preserve">، و ادّعى في كتاب تعارض البيّنات إجماع الفرقة على أنَّ القرعة تستعمل في كلّ أمرٍ مجهول مُشتبه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الشهيد</w:t>
      </w:r>
      <w:r>
        <w:rPr>
          <w:rStyle w:val="FootnoteAnchor"/>
          <w:rtl w:val="true"/>
        </w:rPr>
        <w:footnoteReference w:id="77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عندنا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مجهول فيه القرعة</w:t>
      </w:r>
      <w:r>
        <w:rPr>
          <w:rFonts w:eastAsia="Amiri" w:cs="Amiri" w:ascii="Amiri" w:hAnsi="Amiri"/>
          <w:color w:val="111111"/>
          <w:sz w:val="28"/>
          <w:szCs w:val="28"/>
          <w:rtl w:val="true"/>
          <w:lang w:bidi="ar-SA"/>
        </w:rPr>
        <w:t>)</w:t>
      </w:r>
    </w:p>
    <w:p>
      <w:pPr>
        <w:pStyle w:val="BookText"/>
        <w:rPr/>
      </w:pP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بهذا العنوان مذهب الخاصّة، و من كلام الشهيد أنَّ هذا الكلام ثابت عند الطائفة من أئمّتهم، مع عدم رواية بهذه العبارة عند الشهيد قطعاً غير رواية محمّد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موثوق بها، و ليس في طرقنا ما يُستفاد منه العموم غيرها، و سيأتي حالها</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يُستفاد منه العموم ما روي من طرق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القرعة لكلّ أمر مُشتبه</w:t>
      </w:r>
      <w:r>
        <w:rPr>
          <w:rFonts w:eastAsia="Amiri" w:cs="Amiri" w:ascii="Amiri" w:hAnsi="Amiri"/>
          <w:color w:val="111111"/>
          <w:sz w:val="28"/>
          <w:szCs w:val="28"/>
          <w:rtl w:val="true"/>
          <w:lang w:bidi="ar-SA"/>
        </w:rPr>
        <w:t>)</w:t>
      </w:r>
    </w:p>
    <w:p>
      <w:pPr>
        <w:pStyle w:val="BookText"/>
        <w:rPr/>
      </w:pP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أمرٍ مُشكل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الحلّي دعوى الإجماع على أنَّ كلّ مُشكل فيه القرعة</w:t>
      </w:r>
      <w:r>
        <w:rPr>
          <w:rStyle w:val="FootnoteAnchor"/>
          <w:rtl w:val="true"/>
        </w:rPr>
        <w:footnoteReference w:id="775"/>
      </w:r>
      <w:r>
        <w:rPr>
          <w:rFonts w:ascii="Amiri" w:hAnsi="Amiri" w:eastAsia="Amiri" w:cs="Amiri"/>
          <w:color w:val="111111"/>
          <w:sz w:val="28"/>
          <w:sz w:val="28"/>
          <w:szCs w:val="28"/>
          <w:rtl w:val="true"/>
          <w:lang w:bidi="ar-SA"/>
        </w:rPr>
        <w:t>و نقل عنه أيضاً أنَّه قال</w:t>
      </w:r>
    </w:p>
    <w:p>
      <w:pPr>
        <w:pStyle w:val="BookText"/>
        <w:rPr/>
      </w:pPr>
      <w:r>
        <w:rPr>
          <w:rFonts w:ascii="Amiri" w:hAnsi="Amiri" w:eastAsia="Amiri" w:cs="Amiri"/>
          <w:color w:val="111111"/>
          <w:sz w:val="28"/>
          <w:sz w:val="28"/>
          <w:szCs w:val="28"/>
          <w:rtl w:val="true"/>
          <w:lang w:bidi="ar-SA"/>
        </w:rPr>
        <w:t>في باب سماع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أمر مُشكل يشتبه فيه الحكم فينبغي أن تُستعمل فيه القرعة؛ لما روي عن الأئمّة عليهم السلام، و تواترت به الآثار، و أجمعت عليه الشيعة الإماميّة</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عثر على روايات بهذا المضمون، و إن كان المظنون اصطياده الكلّية من الموارد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و أبي جعفر، و أبي عبد اللَّه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أوجبوا الحكم بالقرعة فيما أشكل،</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حكم في المُلتبس أثبت من القرعة، أ ليس هو التفويض إلى اللَّه جلّ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قصّة يُونس، و مريم، و عبد المُطّلب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استفادة الكلّية في باب القضاء ممّا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المُفيد</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الرحيم </w:t>
      </w:r>
      <w:r>
        <w:rPr>
          <w:rStyle w:val="FootnoteAnchor"/>
          <w:rtl w:val="true"/>
        </w:rPr>
        <w:footnoteReference w:id="778"/>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6575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إذا ورد عليه أمر لم يجئ فيه كتاب، و لم تجرِ فيه سنّة رجم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الرحيم و تلك من المُعضلات</w:t>
      </w:r>
      <w:r>
        <w:rPr>
          <w:rFonts w:eastAsia="Amiri" w:cs="Amiri" w:ascii="Amiri" w:hAnsi="Amiri"/>
          <w:color w:val="111111"/>
          <w:sz w:val="28"/>
          <w:szCs w:val="28"/>
          <w:rtl w:val="true"/>
          <w:lang w:bidi="ar-SA"/>
        </w:rPr>
        <w:t>)</w:t>
      </w:r>
    </w:p>
    <w:p>
      <w:pPr>
        <w:pStyle w:val="BookText"/>
        <w:rPr/>
      </w:pP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استفادة العموم في الجُملة ممّا ورد في ذيل صحيحة أبي بصير برواية الصدوق من قول النبيّ صلى اللَّه عليه و آله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قوم تقارعوا ثمّ فوّضوا أمرهم إلى</w:t>
      </w:r>
    </w:p>
    <w:p>
      <w:pPr>
        <w:pStyle w:val="BookText"/>
        <w:rPr/>
      </w:pPr>
      <w:r>
        <w:rPr>
          <w:rFonts w:ascii="Amiri" w:hAnsi="Amiri" w:eastAsia="Amiri" w:cs="Amiri"/>
          <w:color w:val="111111"/>
          <w:sz w:val="28"/>
          <w:sz w:val="28"/>
          <w:szCs w:val="28"/>
          <w:rtl w:val="true"/>
          <w:lang w:bidi="ar-SA"/>
        </w:rPr>
        <w:t>اللَّه عزّ و جلّ إلّا خرج سهم المُحقّ</w:t>
      </w:r>
      <w:r>
        <w:rPr>
          <w:rFonts w:eastAsia="Amiri" w:cs="Amiri" w:ascii="Amiri" w:hAnsi="Amiri"/>
          <w:color w:val="111111"/>
          <w:sz w:val="28"/>
          <w:szCs w:val="28"/>
          <w:rtl w:val="true"/>
          <w:lang w:bidi="ar-SA"/>
        </w:rPr>
        <w:t>)</w:t>
      </w:r>
    </w:p>
    <w:p>
      <w:pPr>
        <w:pStyle w:val="BookText"/>
        <w:rPr/>
      </w:pP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ما عن أمير المؤمنين عليه صلوات اللَّه في ذيل رواية العبّاس بن هلال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العباس من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الشامي عدّه الشيخ في أصحاب الرضا عليه السلام و الرواة عنه، و كان مولى للإمام الكاظم عليه السلام، روى عنه إبراهيم بن هاشم، و محمد بن الوليد، و يعقوب بن يزيد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مُرسلة الصدوق عن الصادق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قضيّة أعدل من القرعة إذا فوّض الأمر إلى اللَّه، أ ليس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p>
    <w:p>
      <w:pPr>
        <w:pStyle w:val="BookText"/>
        <w:rPr/>
      </w:pPr>
      <w:r>
        <w:rPr>
          <w:rStyle w:val="FootnoteAnchor"/>
          <w:rtl w:val="true"/>
        </w:rPr>
        <w:footnoteReference w:id="782"/>
      </w:r>
      <w:r>
        <w:rPr>
          <w:rFonts w:ascii="Amiri" w:hAnsi="Amiri" w:eastAsia="Amiri" w:cs="Amiri"/>
          <w:color w:val="111111"/>
          <w:sz w:val="28"/>
          <w:sz w:val="28"/>
          <w:szCs w:val="28"/>
          <w:rtl w:val="true"/>
          <w:lang w:bidi="ar-SA"/>
        </w:rPr>
        <w:t xml:space="preserve">و كذا رواية أحمد البرقيّ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الموارد التي ورد فيها النصّ فهي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تعارضت البيّنتان عند فقد المُرجّح،</w:t>
      </w:r>
    </w:p>
    <w:p>
      <w:pPr>
        <w:pStyle w:val="BookText"/>
        <w:rPr/>
      </w:pPr>
      <w:r>
        <w:rPr>
          <w:rFonts w:ascii="Amiri" w:hAnsi="Amiri" w:eastAsia="Amiri" w:cs="Amiri"/>
          <w:color w:val="111111"/>
          <w:sz w:val="28"/>
          <w:sz w:val="28"/>
          <w:szCs w:val="28"/>
          <w:rtl w:val="true"/>
          <w:lang w:bidi="ar-SA"/>
        </w:rPr>
        <w:t xml:space="preserve">ففي صحيحة داود بن سرحان </w:t>
      </w:r>
      <w:r>
        <w:rPr>
          <w:rStyle w:val="FootnoteAnchor"/>
          <w:rtl w:val="true"/>
        </w:rPr>
        <w:footnoteReference w:id="784"/>
      </w:r>
      <w:r>
        <w:rPr>
          <w:rFonts w:ascii="Amiri" w:hAnsi="Amiri" w:eastAsia="Amiri" w:cs="Amiri"/>
          <w:color w:val="111111"/>
          <w:sz w:val="28"/>
          <w:sz w:val="28"/>
          <w:szCs w:val="28"/>
          <w:rtl w:val="true"/>
          <w:lang w:bidi="ar-SA"/>
        </w:rPr>
        <w:t>برواية الصدوق، عن أبي عبد اللَّه في شاهدين شهدا على أمرٍ واحدٍ، فجاء آخران فشهدا على غير الذي شهدا عليه و اختلفوا؟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بينهم، فأيّهم قرع عليه اليمين فهو أولى بالقضاء</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صحيحة الحلبيّ </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قريب منها، إلّا أنَّ في آخرها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أولى بالحقّ</w:t>
      </w:r>
      <w:r>
        <w:rPr>
          <w:rFonts w:eastAsia="IRNazanin" w:cs="IRNazanin"/>
          <w:color w:val="111111"/>
          <w:sz w:val="28"/>
          <w:szCs w:val="28"/>
          <w:rtl w:val="true"/>
          <w:lang w:bidi="fa-IR"/>
        </w:rPr>
        <w:t>)</w:t>
      </w:r>
    </w:p>
    <w:p>
      <w:pPr>
        <w:pStyle w:val="BookText"/>
        <w:rPr/>
      </w:pPr>
      <w:r>
        <w:rPr>
          <w:rStyle w:val="FootnoteAnchor"/>
          <w:rtl w:val="true"/>
        </w:rPr>
        <w:footnoteReference w:id="787"/>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بالقضاء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صحيحة البصريّ </w:t>
      </w:r>
      <w:r>
        <w:rPr>
          <w:rStyle w:val="FootnoteAnchor"/>
          <w:rtl w:val="true"/>
        </w:rPr>
        <w:footnoteReference w:id="788"/>
      </w:r>
      <w:r>
        <w:rPr>
          <w:rFonts w:ascii="Amiri" w:hAnsi="Amiri" w:eastAsia="Amiri" w:cs="Amiri"/>
          <w:color w:val="111111"/>
          <w:sz w:val="28"/>
          <w:sz w:val="28"/>
          <w:szCs w:val="28"/>
          <w:rtl w:val="true"/>
          <w:lang w:bidi="ar-SA"/>
        </w:rPr>
        <w:t>روايته أيضاً</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عليه السلام إذا أتاه رجلان بشهود، عدلهم سواء و عددهم، أقرع بينهم على أيّهما تصير اليمين </w:t>
      </w:r>
      <w:r>
        <w:rPr>
          <w:rFonts w:eastAsia="Amiri" w:cs="Amiri" w:ascii="Amiri" w:hAnsi="Amiri"/>
          <w:color w:val="111111"/>
          <w:sz w:val="28"/>
          <w:szCs w:val="28"/>
          <w:rtl w:val="true"/>
          <w:lang w:bidi="ar-SA"/>
        </w:rPr>
        <w:t>..)</w:t>
      </w:r>
    </w:p>
    <w:p>
      <w:pPr>
        <w:pStyle w:val="BookText"/>
        <w:rPr/>
      </w:pPr>
      <w:r>
        <w:rPr>
          <w:rStyle w:val="FootnoteAnchor"/>
          <w:rtl w:val="true"/>
        </w:rPr>
        <w:footnoteReference w:id="78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الطائفة عامّة لكلّ قضيّة في باب القضايا المُشكلة الواردة على القاضي إذا تعارضت البيّنات و لا ترجيح فيها، أو لم يتهيّأ فيه الإشهاد، كما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الموارد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الإشهاد على الدابّة كموثّقة سماعة</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عن أبي عبد اللَّه عليه سلام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رجلين اختصما إلى عليّ عليه السلام في دابّة، فزعم كلّ واحدٍ منهما أنّها انتجت على مذوده </w:t>
      </w:r>
      <w:r>
        <w:rPr>
          <w:rStyle w:val="FootnoteAnchor"/>
          <w:rtl w:val="true"/>
        </w:rPr>
        <w:footnoteReference w:id="791"/>
      </w:r>
      <w:r>
        <w:rPr>
          <w:rFonts w:ascii="Amiri" w:hAnsi="Amiri" w:eastAsia="Amiri" w:cs="Amiri"/>
          <w:color w:val="111111"/>
          <w:sz w:val="28"/>
          <w:sz w:val="28"/>
          <w:szCs w:val="28"/>
          <w:rtl w:val="true"/>
          <w:lang w:bidi="ar-SA"/>
        </w:rPr>
        <w:t>و اقام كلّ واحدٍ منهما بيّنة سواء في العدد، فأقرع بينهما سهمين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غيرها</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الإشهاد بالإيداع على الظاهر، و هي رواية</w:t>
      </w:r>
    </w:p>
    <w:p>
      <w:pPr>
        <w:pStyle w:val="BookText"/>
        <w:rPr/>
      </w:pPr>
      <w:r>
        <w:rPr>
          <w:rFonts w:ascii="Amiri" w:hAnsi="Amiri" w:eastAsia="Amiri" w:cs="Amiri"/>
          <w:color w:val="111111"/>
          <w:sz w:val="28"/>
          <w:sz w:val="28"/>
          <w:szCs w:val="28"/>
          <w:rtl w:val="true"/>
          <w:lang w:bidi="ar-SA"/>
        </w:rPr>
        <w:t>زرارة، عن أبي جعفر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شهد له رجلان بأنَّ له عند رجل خمسين درهماً، و جاء آخران فشهدا بأنَّ له عنده مائة درهم، كلّهم شهدوا في موقف؟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اقرع بينهم، ثمّ استحلف الذين أصابهم القرع </w:t>
      </w:r>
      <w:r>
        <w:rPr>
          <w:rFonts w:eastAsia="Amiri" w:cs="Amiri" w:ascii="Amiri" w:hAnsi="Amiri"/>
          <w:color w:val="111111"/>
          <w:sz w:val="28"/>
          <w:szCs w:val="28"/>
          <w:rtl w:val="true"/>
          <w:lang w:bidi="ar-SA"/>
        </w:rPr>
        <w:t>...)</w:t>
      </w:r>
    </w:p>
    <w:p>
      <w:pPr>
        <w:pStyle w:val="BookText"/>
        <w:rPr/>
      </w:pPr>
      <w:r>
        <w:rPr>
          <w:rStyle w:val="FootnoteAnchor"/>
          <w:rtl w:val="true"/>
        </w:rPr>
        <w:footnoteReference w:id="79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اشتباه الولد بين العبد و الحرّ و المُشرك،</w:t>
      </w:r>
    </w:p>
    <w:p>
      <w:pPr>
        <w:pStyle w:val="BookText"/>
        <w:rPr/>
      </w:pPr>
      <w:r>
        <w:rPr>
          <w:rFonts w:ascii="Amiri" w:hAnsi="Amiri" w:eastAsia="Amiri" w:cs="Amiri"/>
          <w:color w:val="111111"/>
          <w:sz w:val="28"/>
          <w:sz w:val="28"/>
          <w:szCs w:val="28"/>
          <w:rtl w:val="true"/>
          <w:lang w:bidi="ar-SA"/>
        </w:rPr>
        <w:t>ففي صحيحة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الحرّ و العبد و المُشرك على امرأة في طُهرٍ واحدٍ و ادّعوا الولد اقرع بينهم، و كان الولد للذي يقرع</w:t>
      </w:r>
      <w:r>
        <w:rPr>
          <w:rFonts w:eastAsia="Amiri" w:cs="Amiri" w:ascii="Amiri" w:hAnsi="Amiri"/>
          <w:color w:val="111111"/>
          <w:sz w:val="28"/>
          <w:szCs w:val="28"/>
          <w:rtl w:val="true"/>
          <w:lang w:bidi="ar-SA"/>
        </w:rPr>
        <w:t>)</w:t>
      </w:r>
    </w:p>
    <w:p>
      <w:pPr>
        <w:pStyle w:val="BookText"/>
        <w:rPr/>
      </w:pPr>
      <w:r>
        <w:rPr>
          <w:rStyle w:val="FootnoteAnchor"/>
          <w:rtl w:val="true"/>
        </w:rPr>
        <w:footnoteReference w:id="79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الإشهاد على الزوجيّة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الشابّ الذي خرج أبوه مع جماعة، ثمّ جاءوا و شهدوا بموته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الوصيّة بعتق ثلث العبيد</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 ثلثهم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الاشتباه بين الولد و العبد المُحرّر</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الاشتباه بين صبيّين، أحدهما حرّ، و الآخر مملوك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الخنثى المُشكل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عتق أوّل مملوك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اشتباه المُعتق بغيره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عتق عبيد في مرض الموت، و لا مال له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اشتباه الغنم الموطوءة</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قسمة أمير المؤمنين عليه السلام المال الذي أتى من أصفهان، المذكور في كتاب الجهاد</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مُساهمة رسول اللَّه صلّى اللَّه عليه و آله قريشاً في بناء البيت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استعلام موسى عليه السلام النمّام بالقرعة بتعليم اللَّه تعالى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مساهمة رسول اللَّه صلّى اللَّه عليه و آله بين أزواجه إذا أراد سفراً</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اقتراعه صلّى اللَّه عليه و آله بين أهل الصُّفّة للبعث إلى غزوة ذات</w:t>
      </w:r>
      <w:bookmarkStart w:id="533" w:name="pg2245_13138"/>
    </w:p>
    <w:p>
      <w:pPr>
        <w:pStyle w:val="BookText"/>
        <w:rPr/>
      </w:pPr>
      <w:bookmarkEnd w:id="533"/>
      <w:r>
        <w:rPr>
          <w:rFonts w:ascii="IRNazanin" w:hAnsi="IRNazanin" w:eastAsia="IRNazanin"/>
          <w:color w:val="111111"/>
          <w:sz w:val="28"/>
          <w:sz w:val="28"/>
          <w:szCs w:val="28"/>
          <w:rtl w:val="true"/>
          <w:lang w:bidi="fa-IR"/>
        </w:rPr>
        <w:t xml:space="preserve">السلاسل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اقتراعه في غنائم حنين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اقتراع بني يعقوب ليخرج على واحد فيحسبه يوسف عنده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يطّلع عليه المُتتبّع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1614267_3804643083"/>
      <w:bookmarkStart w:id="535" w:name="_Toc194"/>
      <w:bookmarkEnd w:id="534"/>
      <w:r>
        <w:rPr>
          <w:rtl w:val="true"/>
        </w:rPr>
        <w:t>الأمر الثاني القول في التخصيص المستهجن لعمومات القرعة</w:t>
      </w:r>
      <w:bookmarkEnd w:id="535"/>
    </w:p>
    <w:p>
      <w:pPr>
        <w:pStyle w:val="BookText"/>
        <w:rPr/>
      </w:pPr>
      <w:r>
        <w:rPr>
          <w:rFonts w:ascii="Amiri" w:hAnsi="Amiri" w:eastAsia="Amiri" w:cs="Amiri"/>
          <w:color w:val="111111"/>
          <w:sz w:val="28"/>
          <w:sz w:val="28"/>
          <w:szCs w:val="28"/>
          <w:rtl w:val="true"/>
          <w:lang w:bidi="ar-SA"/>
        </w:rPr>
        <w:t>و هو أهمّ الامور في هذا الباب، و لا بدّ من بسط الكلام في تحقيقه؛ لترتّب الثمرات الكثيرة العمليّة عليه، و هو أنَّه قد اشتهر في ألسنة المتُأخّرين أنَّ عمومات القرعة قد وردت عليها تخصيصات كثيرة، بالغة حدّ الاستهجان، فيُستكشف منه أنّها كانت محفوفة بقرائن و قيود لم تصل إلينا، فلا يجوز التمسّك بها إلّا في موارد عمل الأصحاب على طبقها، و هذا مُساوق لسقوط العمومات عن الحُجّية تقريباً</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ظهر لي بعد الفحص الأكيد عن أقوال الفُقهاء، و التأمّل التامّ في الأخبار الواردة في الموارد المُتقدمة غير ذلك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بناء العُقلاء على العمل بالقرعة في موارد تزاحم الحقوق مع عدم الترجيح عندهم، سواءً كان لها واقع معلوم عند اللَّه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لدى العُقلاء أحد طرق فصل الخصومة، لكن في مورد لا يكون ترجيح في البين، و لا طريق لإحراز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وضوحه قضيّة مُساهمة أصحاب السفينة التي فيها يونس، فعلى نقل كانت المُقارعة من قبيل الأوّل، و العثور على العبد الآبق </w:t>
      </w:r>
      <w:r>
        <w:rPr>
          <w:rStyle w:val="FootnoteAnchor"/>
          <w:rtl w:val="true"/>
        </w:rPr>
        <w:footnoteReference w:id="816"/>
      </w:r>
      <w:r>
        <w:rPr>
          <w:rFonts w:ascii="Amiri" w:hAnsi="Amiri" w:eastAsia="Amiri" w:cs="Amiri"/>
          <w:color w:val="111111"/>
          <w:sz w:val="28"/>
          <w:sz w:val="28"/>
          <w:szCs w:val="28"/>
          <w:rtl w:val="true"/>
          <w:lang w:bidi="ar-SA"/>
        </w:rPr>
        <w:t xml:space="preserve">، و على نقل كانت من قبيل الثاني؛ لأنّهم أشرفوا على الغرق، فرأوا طرح واحدٍ منهم لنجاة الباقين </w:t>
      </w:r>
      <w:r>
        <w:rPr>
          <w:rStyle w:val="FootnoteAnchor"/>
          <w:rtl w:val="true"/>
        </w:rPr>
        <w:footnoteReference w:id="817"/>
      </w:r>
      <w:r>
        <w:rPr>
          <w:rFonts w:ascii="Amiri" w:hAnsi="Amiri" w:eastAsia="Amiri" w:cs="Amiri"/>
          <w:color w:val="111111"/>
          <w:sz w:val="28"/>
          <w:sz w:val="28"/>
          <w:szCs w:val="28"/>
          <w:rtl w:val="true"/>
          <w:lang w:bidi="ar-SA"/>
        </w:rPr>
        <w:t>، و هذا أقرب إلى الاعتبار، و معلوم أنَّ مُساهمتهم لم تكن لدليل شرعيّ، بل لبناء عمليّ عقلائيّ، بعد عدم الترجيح بينهم بنظرهم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مُساهمة أحبار بيت المقدس لتكفّل مريم عليها السلام، كما أخبر بها اللَّه تعالى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لَدَيْهِمْ إِذْ يُلْقُونَ أَقْلامَهُمْ أَيُّهُمْ يَكْفُلُ مَرْيَمَ وَ ما كُنْتَ لَدَيْهِمْ إِذْ يَخْتَصِمُونَ</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تدلّ على أنَّ العُقلاء بحسب ارتكازهم يتشبّثون بالقرعة عند الاختصام و عدم الترجيح، و هذه من قبيل الثاني، كما أنَّ غالب المُقارعات العُقلائيّة لعلّها من هذا القبيل، كالمُقارعات المُتداولة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يشهد لتعارفها قضيّة مُقارعة بني يعقوب </w:t>
      </w:r>
      <w:r>
        <w:rPr>
          <w:rStyle w:val="FootnoteAnchor"/>
          <w:rtl w:val="true"/>
        </w:rPr>
        <w:footnoteReference w:id="819"/>
      </w:r>
      <w:r>
        <w:rPr>
          <w:rFonts w:ascii="Amiri" w:hAnsi="Amiri" w:eastAsia="Amiri" w:cs="Amiri"/>
          <w:color w:val="111111"/>
          <w:sz w:val="28"/>
          <w:sz w:val="28"/>
          <w:szCs w:val="28"/>
          <w:rtl w:val="true"/>
          <w:lang w:bidi="ar-SA"/>
        </w:rPr>
        <w:t xml:space="preserve">، و مُقارعة رسول اللَّه صلّى اللَّه عليه و آله قريشاً في بناء البيت </w:t>
      </w:r>
      <w:r>
        <w:rPr>
          <w:rStyle w:val="FootnoteAnchor"/>
          <w:rtl w:val="true"/>
        </w:rPr>
        <w:footnoteReference w:id="820"/>
      </w:r>
      <w:r>
        <w:rPr>
          <w:rFonts w:ascii="Amiri" w:hAnsi="Amiri" w:eastAsia="Amiri" w:cs="Amiri"/>
          <w:color w:val="111111"/>
          <w:sz w:val="28"/>
          <w:sz w:val="28"/>
          <w:szCs w:val="28"/>
          <w:rtl w:val="true"/>
          <w:lang w:bidi="ar-SA"/>
        </w:rPr>
        <w:t xml:space="preserve">، بل مُقارعته بين نسائه </w:t>
      </w:r>
      <w:r>
        <w:rPr>
          <w:rStyle w:val="FootnoteAnchor"/>
          <w:rtl w:val="true"/>
        </w:rPr>
        <w:footnoteReference w:id="821"/>
      </w:r>
      <w:r>
        <w:rPr>
          <w:rFonts w:ascii="Amiri" w:hAnsi="Amiri" w:eastAsia="Amiri" w:cs="Amiri"/>
          <w:color w:val="111111"/>
          <w:sz w:val="28"/>
          <w:sz w:val="28"/>
          <w:szCs w:val="28"/>
          <w:rtl w:val="true"/>
          <w:lang w:bidi="ar-SA"/>
        </w:rPr>
        <w:t>، فإنَّ الظاهر أنّها كانت من جهة الأمر العُقلائيّ، لا الحكم الشرعيّ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معروفيّة القرعة لدى العُقلاء من زمن قديم، كما أنَّه لا إشكال في أنّها لا تكون عندهم في كلّ مُشتبه و مجهول، بل تتداول لدى التنازع أو تزاحم الحقوق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أنّها ليست طريقاً عُقلائيّاً إلى الواقع، و لا كاشفاً عن المجهول، بل يستعملها العُقلاء لمحض رفع النزاع و الخصام، و حصول الأولويّة بنفس القرعة؛ ضرورة أنّها ليست لها جهة كاشفيّة و طريقيّة إلى الواقع، كاليد و خبر الثقة، فكما أنّها في الموارد التي ليس لها واقع كتقسيم الإرث و الأموال المُشتركة إنّما هي لتمييز الحقوق بنفس القرعة لدى العُقلاء، كذا في الموارد التي لها واقع مجهول لديهم ليست المقارعة لتحصيل الواقع و كشف الحقيقة، بل لرفع الخصام و التنازع،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المُتتبّع في الموارد المُتقدّمة التي وردت فيها الأخبار الخاصّة، و كذا المُتأمّل في كلمات الأصحاب في الموارد التي حكموا بالقرعة</w:t>
      </w:r>
      <w:r>
        <w:rPr>
          <w:rStyle w:val="FootnoteAnchor"/>
          <w:rtl w:val="true"/>
        </w:rPr>
        <w:footnoteReference w:id="822"/>
      </w:r>
      <w:r>
        <w:rPr>
          <w:rFonts w:ascii="Amiri" w:hAnsi="Amiri" w:eastAsia="Amiri" w:cs="Amiri"/>
          <w:color w:val="111111"/>
          <w:sz w:val="28"/>
          <w:sz w:val="28"/>
          <w:szCs w:val="28"/>
          <w:rtl w:val="true"/>
          <w:lang w:bidi="ar-SA"/>
        </w:rPr>
        <w:t>يحصل له القطع بأنَّ مصبّ القرعة في الشريعة ليس إلّا ما لدى العُقلاء طابق النعل بالنعل؛ فإنَّ الروايات على كثرتها بل تواترها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موردٍ واحدٍ سيأتي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وردت في موارد تزاحم الحقوق، سواء أ كان لها واقع معلوم عند اللَّه مجهول لدى الخصمين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مورد تعارض البيّنات و الدعاوي كالإشهاد على الدابّة</w:t>
      </w:r>
      <w:r>
        <w:rPr>
          <w:rStyle w:val="FootnoteAnchor"/>
          <w:rtl w:val="true"/>
        </w:rPr>
        <w:footnoteReference w:id="823"/>
      </w:r>
      <w:r>
        <w:rPr>
          <w:rFonts w:ascii="Amiri" w:hAnsi="Amiri" w:eastAsia="Amiri" w:cs="Amiri"/>
          <w:color w:val="111111"/>
          <w:sz w:val="28"/>
          <w:sz w:val="28"/>
          <w:szCs w:val="28"/>
          <w:rtl w:val="true"/>
          <w:lang w:bidi="ar-SA"/>
        </w:rPr>
        <w:t>، و الإيداع و الاختلاف في الولد</w:t>
      </w:r>
      <w:r>
        <w:rPr>
          <w:rStyle w:val="FootnoteAnchor"/>
          <w:rtl w:val="true"/>
        </w:rPr>
        <w:footnoteReference w:id="824"/>
      </w:r>
      <w:r>
        <w:rPr>
          <w:rFonts w:ascii="Amiri" w:hAnsi="Amiri" w:eastAsia="Amiri" w:cs="Amiri"/>
          <w:color w:val="111111"/>
          <w:sz w:val="28"/>
          <w:sz w:val="28"/>
          <w:szCs w:val="28"/>
          <w:rtl w:val="true"/>
          <w:lang w:bidi="ar-SA"/>
        </w:rPr>
        <w:t>و الزوجة</w:t>
      </w:r>
      <w:r>
        <w:rPr>
          <w:rStyle w:val="FootnoteAnchor"/>
          <w:rtl w:val="true"/>
        </w:rPr>
        <w:footnoteReference w:id="825"/>
      </w:r>
      <w:r>
        <w:rPr>
          <w:rFonts w:ascii="Amiri" w:hAnsi="Amiri" w:eastAsia="Amiri" w:cs="Amiri"/>
          <w:color w:val="111111"/>
          <w:sz w:val="28"/>
          <w:sz w:val="28"/>
          <w:szCs w:val="28"/>
          <w:rtl w:val="true"/>
          <w:lang w:bidi="ar-SA"/>
        </w:rPr>
        <w:t>فمعلوم، و أمّا موارد الوصيّة بعتق ثلث العبيد</w:t>
      </w:r>
      <w:r>
        <w:rPr>
          <w:rStyle w:val="FootnoteAnchor"/>
          <w:rtl w:val="true"/>
        </w:rPr>
        <w:footnoteReference w:id="826"/>
      </w:r>
      <w:r>
        <w:rPr>
          <w:rFonts w:ascii="Amiri" w:hAnsi="Amiri" w:eastAsia="Amiri" w:cs="Amiri"/>
          <w:color w:val="111111"/>
          <w:sz w:val="28"/>
          <w:sz w:val="28"/>
          <w:szCs w:val="28"/>
          <w:rtl w:val="true"/>
          <w:lang w:bidi="ar-SA"/>
        </w:rPr>
        <w:t xml:space="preserve">أو عتق أوّل مملوك </w:t>
      </w:r>
      <w:r>
        <w:rPr>
          <w:rStyle w:val="FootnoteAnchor"/>
          <w:rtl w:val="true"/>
        </w:rPr>
        <w:footnoteReference w:id="827"/>
      </w:r>
      <w:r>
        <w:rPr>
          <w:rFonts w:ascii="Amiri" w:hAnsi="Amiri" w:eastAsia="Amiri" w:cs="Amiri"/>
          <w:color w:val="111111"/>
          <w:sz w:val="28"/>
          <w:sz w:val="28"/>
          <w:szCs w:val="28"/>
          <w:rtl w:val="true"/>
          <w:lang w:bidi="ar-SA"/>
        </w:rPr>
        <w:t xml:space="preserve">و أمثالهما فهو أيضاً واضح، لأنَّ العبيد كلّهم سواء في التمتّع بالحرّية، فتتزاحم حقوقهم، و حيث لا ترجيح في البين يقرع بينهم، و كذا الحال في الخنثى المُشكل </w:t>
      </w:r>
      <w:r>
        <w:rPr>
          <w:rStyle w:val="FootnoteAnchor"/>
          <w:rtl w:val="true"/>
        </w:rPr>
        <w:footnoteReference w:id="828"/>
      </w:r>
      <w:r>
        <w:rPr>
          <w:rFonts w:ascii="Amiri" w:hAnsi="Amiri" w:eastAsia="Amiri" w:cs="Amiri"/>
          <w:color w:val="111111"/>
          <w:sz w:val="28"/>
          <w:sz w:val="28"/>
          <w:szCs w:val="28"/>
          <w:rtl w:val="true"/>
          <w:lang w:bidi="ar-SA"/>
        </w:rPr>
        <w:t>و غيرها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جميع الموارد المنصوصة إلّا ما هو الأمر العُقلائيّ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مورد واحد هو قضيّة اشتباه الشاة الموطوءة</w:t>
      </w:r>
      <w:r>
        <w:rPr>
          <w:rStyle w:val="FootnoteAnchor"/>
          <w:rtl w:val="true"/>
        </w:rPr>
        <w:footnoteReference w:id="829"/>
      </w:r>
      <w:r>
        <w:rPr>
          <w:rFonts w:ascii="Amiri" w:hAnsi="Amiri" w:eastAsia="Amiri" w:cs="Amiri"/>
          <w:color w:val="111111"/>
          <w:sz w:val="28"/>
          <w:sz w:val="28"/>
          <w:szCs w:val="28"/>
          <w:rtl w:val="true"/>
          <w:lang w:bidi="ar-SA"/>
        </w:rPr>
        <w:t>ممّا لا يمكن الالتزام بها</w:t>
      </w:r>
    </w:p>
    <w:p>
      <w:pPr>
        <w:pStyle w:val="BookText"/>
        <w:rPr/>
      </w:pPr>
      <w:r>
        <w:rPr>
          <w:rFonts w:ascii="Amiri" w:hAnsi="Amiri" w:eastAsia="Amiri" w:cs="Amiri"/>
          <w:color w:val="111111"/>
          <w:sz w:val="28"/>
          <w:sz w:val="28"/>
          <w:szCs w:val="28"/>
          <w:rtl w:val="true"/>
          <w:lang w:bidi="ar-SA"/>
        </w:rPr>
        <w:t xml:space="preserve">في أشباهها، فلا بدّ من الالتزام فيه بالتعبّد في المورد الخاصّ، لا يتجاوز منه إلى غيره، و لذا ترى الفُقهاء كما سيأتي نقل فتاويهم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يفتون في أشباه الموارد المُتقدّمة في جميع أبواب الفقه إلّا ما ورد فيه نصّ خاصّ، و لا يفتون بل و لا أفتى فقيه مُعتبر كلامه في الفقه في الموارد المجهولة و المُشتبهة بكثرتها في غيرها إلّا في قضيّة الشاة الموطوءة لورود النصّ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التعبّد في هذا المورد أيضاً إنّما يكون لأجل تزاحم حقوق الشياه لنجاة البقيّة، كما أشار إليه في النصّ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يعرفها قسّمها نصفين أبداً حتّى يقع السهم بها، فتذبح و تُحرق، و قد نجت سائرها</w:t>
      </w:r>
      <w:r>
        <w:rPr>
          <w:rFonts w:eastAsia="Amiri" w:cs="Amiri" w:ascii="Amiri" w:hAnsi="Amiri"/>
          <w:color w:val="111111"/>
          <w:sz w:val="28"/>
          <w:szCs w:val="28"/>
          <w:rtl w:val="true"/>
          <w:lang w:bidi="ar-SA"/>
        </w:rPr>
        <w:t>)</w:t>
      </w:r>
    </w:p>
    <w:p>
      <w:pPr>
        <w:pStyle w:val="BookText"/>
        <w:rPr/>
      </w:pP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فأيّهما وقع السهم بها ذُبحت و احرقت و نجا سائر الغنم</w:t>
      </w:r>
      <w:r>
        <w:rPr>
          <w:rFonts w:eastAsia="Amiri" w:cs="Amiri" w:ascii="Amiri" w:hAnsi="Amiri"/>
          <w:color w:val="111111"/>
          <w:sz w:val="28"/>
          <w:szCs w:val="28"/>
          <w:rtl w:val="true"/>
          <w:lang w:bidi="ar-SA"/>
        </w:rPr>
        <w:t>)</w:t>
      </w:r>
    </w:p>
    <w:p>
      <w:pPr>
        <w:pStyle w:val="BookText"/>
        <w:rPr/>
      </w:pP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التغبير بنجاة سائره لعلّه إشارة إلى أنَّ هذا المورد أيضاً من قبيل تزاحم حقوق الشياه في بقاء حياتها، و ربما يُحتمل أن يكون مورده من قبيل تزاحم حقوق أرباب الغنم، فإنَّ قطيع الأغنام يكون من أرباب مُتفرّقين غالباً، فتتزاحم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موارد النصوص و الفتاوى يظهر له أنَّ مصبّ القرعة ليس إلّا 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إمكان استفادة ذلك ما أشارت الأخبار و كلمات الأصحاب، ففي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يقارع قوم فوّضوا أمرهم إلى اللَّه إلّا خرج سهم المُحقّ</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3"/>
      </w:r>
      <w:r>
        <w:rPr>
          <w:rFonts w:ascii="Amiri" w:hAnsi="Amiri" w:eastAsia="Amiri" w:cs="Amiri"/>
          <w:color w:val="111111"/>
          <w:sz w:val="28"/>
          <w:sz w:val="28"/>
          <w:szCs w:val="28"/>
          <w:rtl w:val="true"/>
          <w:lang w:bidi="ar-SA"/>
        </w:rPr>
        <w:t>و قريب منها بعض آخر</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منها أنَّ مصبّها ليس مُطلق المجهول و المُشتبه، بل في باب التنازع و إخراج سهم المُحقّ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قضيّة أعدل من القرعة إذا فوّض الأمر إلى اللَّه أ ليس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p>
    <w:p>
      <w:pPr>
        <w:pStyle w:val="BookText"/>
        <w:rPr/>
      </w:pPr>
      <w:r>
        <w:rPr>
          <w:rStyle w:val="FootnoteAnchor"/>
          <w:rtl w:val="true"/>
        </w:rPr>
        <w:footnoteReference w:id="835"/>
      </w:r>
      <w:r>
        <w:rPr>
          <w:rFonts w:ascii="Amiri" w:hAnsi="Amiri" w:eastAsia="Amiri" w:cs="Amiri"/>
          <w:color w:val="111111"/>
          <w:sz w:val="28"/>
          <w:sz w:val="28"/>
          <w:szCs w:val="28"/>
          <w:rtl w:val="true"/>
          <w:lang w:bidi="ar-SA"/>
        </w:rPr>
        <w:t>و فيها أيضاً 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مرسلة ثعلبة بن ميمون </w:t>
      </w:r>
      <w:r>
        <w:rPr>
          <w:rStyle w:val="FootnoteAnchor"/>
          <w:rtl w:val="true"/>
        </w:rPr>
        <w:footnoteReference w:id="836"/>
      </w:r>
    </w:p>
    <w:p>
      <w:pPr>
        <w:pStyle w:val="BookText"/>
        <w:rPr/>
      </w:pP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قضيّة المولود الذي ليس بذكر و لا انثى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قضيّة أعدل من قضيّة يجال عليها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p>
    <w:p>
      <w:pPr>
        <w:pStyle w:val="BookText"/>
        <w:rPr/>
      </w:pPr>
      <w:r>
        <w:rPr>
          <w:rStyle w:val="FootnoteAnchor"/>
          <w:rtl w:val="true"/>
        </w:rPr>
        <w:footnoteReference w:id="83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أمرٍ يختلف فيه اثنان إلّا و له أصل في كتاب اللَّه، و لكن لا تبلغه عقول الرجال</w:t>
      </w:r>
      <w:r>
        <w:rPr>
          <w:rFonts w:eastAsia="Amiri" w:cs="Amiri" w:ascii="Amiri" w:hAnsi="Amiri"/>
          <w:color w:val="111111"/>
          <w:sz w:val="28"/>
          <w:szCs w:val="28"/>
          <w:rtl w:val="true"/>
          <w:lang w:bidi="ar-SA"/>
        </w:rPr>
        <w:t>)</w:t>
      </w:r>
    </w:p>
    <w:p>
      <w:pPr>
        <w:pStyle w:val="BookText"/>
        <w:rPr/>
      </w:pP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أصل قضيّة القرعة ما هو في كتاب اللَّه، و معلوم أنّها فيه في باب التنازع و مزاحمة الحقوق لا غير، فكذا ما ينشعب من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مُرسلة حمّاد المرويّة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لا تكون إلّا للإمام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معاوية بن عمّار</w:t>
      </w:r>
      <w:r>
        <w:rPr>
          <w:rStyle w:val="FootnoteAnchor"/>
          <w:rtl w:val="true"/>
        </w:rPr>
        <w:footnoteReference w:id="840"/>
      </w:r>
      <w:r>
        <w:rPr>
          <w:rFonts w:ascii="Amiri" w:hAnsi="Amiri" w:eastAsia="Amiri" w:cs="Amiri"/>
          <w:color w:val="111111"/>
          <w:sz w:val="28"/>
          <w:sz w:val="28"/>
          <w:szCs w:val="28"/>
          <w:rtl w:val="true"/>
          <w:lang w:bidi="ar-SA"/>
        </w:rPr>
        <w:t>في باب النزاع في الولد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أقرع الوالي</w:t>
      </w:r>
    </w:p>
    <w:p>
      <w:pPr>
        <w:pStyle w:val="BookText"/>
        <w:rPr/>
      </w:pP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w:t>
      </w:r>
    </w:p>
    <w:p>
      <w:pPr>
        <w:pStyle w:val="BookText"/>
        <w:rPr/>
      </w:pP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يونس في قضيّة تحرير من علّمه آية من كتاب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أن يستخرجه أحد إلّا الإمام</w:t>
      </w:r>
      <w:r>
        <w:rPr>
          <w:rFonts w:eastAsia="Amiri" w:cs="Amiri" w:ascii="Amiri" w:hAnsi="Amiri"/>
          <w:color w:val="111111"/>
          <w:sz w:val="28"/>
          <w:szCs w:val="28"/>
          <w:rtl w:val="true"/>
          <w:lang w:bidi="ar-SA"/>
        </w:rPr>
        <w:t>)</w:t>
      </w:r>
    </w:p>
    <w:p>
      <w:pPr>
        <w:pStyle w:val="BookText"/>
        <w:rPr/>
      </w:pP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فحصر القرعة بالإمام ليس إلّا لاختصاصها بموارد الخصومة و تزاحم الحقوق، التي يُرفع الأمر فيها إلى الإمام و الوالي، و لو كانت في كلّ قضيّة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كاشتباه القبلة و مثله من الموضوعات المُشتبهة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وجه للحصر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موارد الاشتباه في غير باب التنازع أكثر بكثير، فلا يمكن أن يحمل على الحصر الإضافيّ؛ لاستهجان الحصر فيما إذا كان الخارج كثيراً، بل أكثر من الداخل، فيعلم أنَّ القرعة إنّما تكون في موارد يكون الأمر راجعاً إلى الإمام و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خروج بعض الموارد النادرة منه لا يكون الحصر مُستهجناً، بخلاف ما لو كانت لمُطلق المجهولات و المشتبهات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w:t>
      </w:r>
    </w:p>
    <w:p>
      <w:pPr>
        <w:pStyle w:val="BookText"/>
        <w:rPr/>
      </w:pPr>
      <w:r>
        <w:rPr>
          <w:rFonts w:ascii="Amiri" w:hAnsi="Amiri" w:eastAsia="Amiri" w:cs="Amiri"/>
          <w:color w:val="111111"/>
          <w:sz w:val="28"/>
          <w:sz w:val="28"/>
          <w:szCs w:val="28"/>
          <w:rtl w:val="true"/>
          <w:lang w:bidi="ar-SA"/>
        </w:rPr>
        <w:t>في رواية محمّد بن حكيم المُتقدّمة</w:t>
      </w:r>
      <w:r>
        <w:rPr>
          <w:rStyle w:val="FootnoteAnchor"/>
          <w:rtl w:val="true"/>
        </w:rPr>
        <w:footnoteReference w:id="8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عن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يتوهّم منها العموم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صدرها غير مذكور؛ ضرورة أنَّ السؤال لم يكن بهذا العنوان العامّ المجهول، بل لم يذكر المسئول منه في النقل، فلعلّ السؤال كان على نحو كان قرينة على صرف الجواب إلى مجهول خاصّ</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القرعة عُقلائيّة مرتكزة في ذهن العُرف موجب لصرف كلّ مجهول</w:t>
      </w:r>
    </w:p>
    <w:p>
      <w:pPr>
        <w:pStyle w:val="BookText"/>
        <w:rPr/>
      </w:pPr>
      <w:r>
        <w:rPr>
          <w:rFonts w:ascii="Amiri" w:hAnsi="Amiri" w:eastAsia="Amiri" w:cs="Amiri"/>
          <w:color w:val="111111"/>
          <w:sz w:val="28"/>
          <w:sz w:val="28"/>
          <w:szCs w:val="28"/>
          <w:rtl w:val="true"/>
          <w:lang w:bidi="ar-SA"/>
        </w:rPr>
        <w:t>إلى المجهول في باب القضاء؛ و تزاحم الحقوق، لا مُطلقاً، و في كشف كلّ مجهول، خصوصاً مع ورود تلك الروايات الكثيرة في ذلك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الفُقهاء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شيخ الطائفة شيخنا أبو جعفر الطوسيّ رضي اللَّه عنه قال في كتاب القضاء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سماع البيّنات و كيفيّة الحكم بها و أحكام القرعة في ذيل بعض القضايا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أمر مُشكل مجهول يشتبه الحكم فيه فينبغي أن يستعمل فيه القرعة؛ لما روي عن أبي الحسن موسى و عن غيره من آبائه و أبنائه، ثمّ ذكر رواية محمّد بن حكيم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مُراده من كلّ أمر مُشكل مجهول يشتبه فيه الحكم هو الحكم في موارد القضاء و رفع الأمر إلى القاضي في التنازع و تزاحم الحقوق، لا مطلق الحكم الشرعيّ،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البيّنات بعد اختياره القرعة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على أنَّ القرعة تُستعمل في كلّ أمر مجهول مُشتبه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دعوى الإجماع ظاهراً على أنَّ القُرعة في كلّ أمر مجهول؛ حيث قال في مسألة ما إذا حضر اثنان عند الحاكم معاً في حالة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القرعة مذهبنا في كلّ أمر مجهول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مُراده من كلّ أمر مجهول هو ما ذكرنا لا مُطلقاً؛ لقضاء الإجماع، بل الضرورة بأنَّ القرعة ليست في مُطلق المجهولات، كالجهل بالأحكام الشرعيّة في مقام الفتوى، و كاشتباه الموضوعات كالإناءين المُشتبهين، و اشتباه القبلة و أشباهها، فدعوى كون القرعة مذهبنا في كلّ أمر مجهول تدلّ بالضرورة على 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عندنا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مجهول فيه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فيها عند تساوي الحقوق و المصالح و وقوع التنازع دفعاً للضغائن و الأحقاد، و الرضا بما جرت به الأقدار، و قضاء الملك الجبّار</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التعليل ظاهر في أنَّ الشهيد فهم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p>
    <w:p>
      <w:pPr>
        <w:pStyle w:val="BookText"/>
        <w:rPr/>
      </w:pPr>
      <w:r>
        <w:rPr>
          <w:rStyle w:val="FootnoteAnchor"/>
          <w:rtl w:val="true"/>
        </w:rPr>
        <w:footnoteReference w:id="849"/>
      </w:r>
      <w:r>
        <w:rPr>
          <w:rFonts w:ascii="Amiri" w:hAnsi="Amiri" w:eastAsia="Amiri" w:cs="Amiri"/>
          <w:color w:val="111111"/>
          <w:sz w:val="28"/>
          <w:sz w:val="28"/>
          <w:szCs w:val="28"/>
          <w:rtl w:val="true"/>
          <w:lang w:bidi="ar-SA"/>
        </w:rPr>
        <w:t>اختصاصه بباب تساوي الحقوق و تزاحمها و وقوع النزاع، و عليه يحمل ما نقل عن طريق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لكلّ أمر مُشتبه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نقل عن ابن إدريس </w:t>
      </w:r>
      <w:r>
        <w:rPr>
          <w:rStyle w:val="FootnoteAnchor"/>
          <w:rtl w:val="true"/>
        </w:rPr>
        <w:footnoteReference w:id="850"/>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رجال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باب سماع البيّنات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أمر مُشكل يشتبه فيه الحكم فينبغي أن تستعمل فيه القرعة؛ لما روي عن الأئمّة عليهم السلام، و تواترت به الآثار، و أجمعت عليه الشيعة الإماميّة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ضرورة أنَّ الروايات المتواترة إنّما هي في الموارد المُتقدّمة، و كذا إجماع الشيعة في مثلها، لا في مُطلق المُشتبه، و هذا واضح جدّاً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المُتتبّع لكلمات الأصحاب يرى إسراءهم الحكم من الموارد المنصوصة التي عددناها في الأمر الأوّل إلى غيرها ممّا هو من قبيلها؛ أي في موارد تزاحم الحقوق و التداعي و التنازع، و الحال أنَّ فقيها منهم ممّن تعتبر فتواه لا يرى الإفتاء في سائر المُشتبهات و المجهولات بالقرعة، و ليس ذلك إلّا من جهة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لاحتفاف الأخبار بقرائن و قيود لم تنقل إلينا فإنَّه بعيد جدّاً، بل مقطوع البطلان؛ فإنَّ الرواية العامّة التي تكون أعمّ من سائر الروايات من طرقنا هي رواية محمّد بن حكيم، و هي كانت عند الصدوق و الشيخ من مُتقدّمي أصحابنا بهذه الألفاظ من غير زيادة و نقيصة، و أنّهم لم يفهموا منها إلّا ما ذكرنا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 من قضيّة التخصيص الكثير إنّما هو أمر أحدثه بعض مُتأخّري المُتأخّرين </w:t>
      </w:r>
      <w:r>
        <w:rPr>
          <w:rStyle w:val="FootnoteAnchor"/>
          <w:rtl w:val="true"/>
        </w:rPr>
        <w:footnoteReference w:id="851"/>
      </w:r>
      <w:r>
        <w:rPr>
          <w:rFonts w:ascii="Amiri" w:hAnsi="Amiri" w:eastAsia="Amiri" w:cs="Amiri"/>
          <w:color w:val="111111"/>
          <w:sz w:val="28"/>
          <w:sz w:val="28"/>
          <w:szCs w:val="28"/>
          <w:rtl w:val="true"/>
          <w:lang w:bidi="ar-SA"/>
        </w:rPr>
        <w:t xml:space="preserve">، و تبعه غيره </w:t>
      </w:r>
      <w:r>
        <w:rPr>
          <w:rStyle w:val="FootnoteAnchor"/>
          <w:rtl w:val="true"/>
        </w:rPr>
        <w:footnoteReference w:id="852"/>
      </w:r>
      <w:r>
        <w:rPr>
          <w:rFonts w:ascii="Amiri" w:hAnsi="Amiri" w:eastAsia="Amiri" w:cs="Amiri"/>
          <w:color w:val="111111"/>
          <w:sz w:val="28"/>
          <w:sz w:val="28"/>
          <w:szCs w:val="28"/>
          <w:rtl w:val="true"/>
          <w:lang w:bidi="ar-SA"/>
        </w:rPr>
        <w:t>، و ما رأينا في كلام القُدماء من أصحابنا له عيناً و لا أثراً، و المظنون أنَّه حصل من الاغترار بظاهر رواية محمّد بن حكيم و الروايتين من طرق العامّة، فأخذ اللّاحق من السابق حتى انجرّ الأمر إلى ذلك و اشتهر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مخافة التطويل المُملّ لسردت عبارات القوم في الموارد المُفتى بها من غير نصّ خاصّ حتّى يتّضح لك الأمر، فراجع أبواب التنازع في الكتب، و موارد فرض الاشتباه و التشاحّ في كتاب النكاح، و الطلاق، و التجارة، و اللّقطة، و القضاء، و الإجارة، و الصلح، و الوصيّة، و الميراث، و العتق، و الصيد، و الذباحة، و الإقرار، و الغصب، و إحياء الموات، و الشفعة، و غيرها ممّا لا نصّ فيها، ترى أنَّ الفقهاء عملوا فيها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مصبّ أخبار القرعة العامّة و الخاصّة ليس إلّا المُشتبهات و المجهولات في باب التنازع و تزاحم الحقوق، و ليس التخصيص فيها كثيراً، بل هي بعمومها معوّل عليها، معمول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التخصيص في أخبارها أقلّ من تخصيص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853"/>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4"/>
      </w:r>
      <w:r>
        <w:rPr>
          <w:rFonts w:ascii="Amiri" w:hAnsi="Amiri" w:eastAsia="Amiri" w:cs="Amiri"/>
          <w:color w:val="111111"/>
          <w:sz w:val="28"/>
          <w:sz w:val="28"/>
          <w:szCs w:val="28"/>
          <w:rtl w:val="true"/>
          <w:lang w:bidi="ar-SA"/>
        </w:rPr>
        <w:t>فالمسألة بحمد اللَّه خالية عن الإشكال</w:t>
      </w:r>
      <w:r>
        <w:rPr>
          <w:rFonts w:eastAsia="Amiri" w:cs="Amiri" w:ascii="Amiri" w:hAnsi="Amiri"/>
          <w:color w:val="111111"/>
          <w:sz w:val="28"/>
          <w:szCs w:val="28"/>
          <w:rtl w:val="true"/>
          <w:lang w:bidi="ar-SA"/>
        </w:rPr>
        <w:t>.</w:t>
      </w:r>
      <w:bookmarkStart w:id="536" w:name="pg2245_13147"/>
    </w:p>
    <w:p>
      <w:pPr>
        <w:pStyle w:val="Heading4"/>
        <w:numPr>
          <w:ilvl w:val="3"/>
          <w:numId w:val="1"/>
        </w:numPr>
        <w:rPr/>
      </w:pPr>
      <w:bookmarkStart w:id="537" w:name="__RefHeading___Toc1614269_3804643083"/>
      <w:bookmarkStart w:id="538" w:name="_Toc195"/>
      <w:bookmarkEnd w:id="536"/>
      <w:bookmarkEnd w:id="537"/>
      <w:r>
        <w:rPr>
          <w:rtl w:val="true"/>
        </w:rPr>
        <w:t>الأمر الثالث هل القرعة أمارة على الواقع أم لا؟</w:t>
      </w:r>
      <w:bookmarkEnd w:id="538"/>
    </w:p>
    <w:p>
      <w:pPr>
        <w:pStyle w:val="BookText"/>
        <w:rPr/>
      </w:pPr>
      <w:r>
        <w:rPr>
          <w:rFonts w:ascii="Amiri" w:hAnsi="Amiri" w:eastAsia="Amiri" w:cs="Amiri"/>
          <w:color w:val="111111"/>
          <w:sz w:val="28"/>
          <w:sz w:val="28"/>
          <w:szCs w:val="28"/>
          <w:rtl w:val="true"/>
          <w:lang w:bidi="ar-SA"/>
        </w:rPr>
        <w:t>الظاهر أنَّ القرعة ليست أمارة على الواقع، لا لدى العُقلاء و ذلك واضح، و لا لدى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أنَّ الشارع لم يتّخذ في باب القرعة طريقاً غير طريق العُقلاء، كما لعلّه يظهر من ذيل مرسلة ثعلبة</w:t>
      </w:r>
      <w:r>
        <w:rPr>
          <w:rStyle w:val="FootnoteAnchor"/>
          <w:rtl w:val="true"/>
        </w:rPr>
        <w:footnoteReference w:id="855"/>
      </w:r>
      <w:r>
        <w:rPr>
          <w:rFonts w:ascii="Amiri" w:hAnsi="Amiri" w:eastAsia="Amiri" w:cs="Amiri"/>
          <w:color w:val="111111"/>
          <w:sz w:val="28"/>
          <w:sz w:val="28"/>
          <w:szCs w:val="28"/>
          <w:rtl w:val="true"/>
          <w:lang w:bidi="ar-SA"/>
        </w:rPr>
        <w:t>، حيث جعل الأصل فيها 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مُساهمة أصحاب السفينة قضيّة عُقلائية، قرّرها الكتاب الكريم، و استشهد بها الأئمّة عليهم السلام، بل الناظر في الأخبار المُتكثّرة الواردة في القرعة يرى أنَّ مواردها هي الموارد التي يتداول أشباهها لدى العُقلاء، إلّا المورد الذي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جعل الطريقيّة لما ليس له كشف عن الواقع و لو ضعيفاً ممّا لا يمكن، بل قد قرّر في محلّه </w:t>
      </w:r>
      <w:r>
        <w:rPr>
          <w:rStyle w:val="FootnoteAnchor"/>
          <w:rtl w:val="true"/>
        </w:rPr>
        <w:footnoteReference w:id="857"/>
      </w:r>
      <w:r>
        <w:rPr>
          <w:rFonts w:ascii="Amiri" w:hAnsi="Amiri" w:eastAsia="Amiri" w:cs="Amiri"/>
          <w:color w:val="111111"/>
          <w:sz w:val="28"/>
          <w:sz w:val="28"/>
          <w:szCs w:val="28"/>
          <w:rtl w:val="true"/>
          <w:lang w:bidi="ar-SA"/>
        </w:rPr>
        <w:t xml:space="preserve">بطلان جعل الطريقيّة و الكاشفيّة مُطلقاً، و القرعة ليست كاشفة عن الواقع، بل تكون مطابقتها للواقع من باب الاتفاق، لا بمعناه المحال، كما قرّر في محلّه </w:t>
      </w:r>
      <w:r>
        <w:rPr>
          <w:rStyle w:val="FootnoteAnchor"/>
          <w:rtl w:val="true"/>
        </w:rPr>
        <w:footnoteReference w:id="858"/>
      </w:r>
      <w:r>
        <w:rPr>
          <w:rFonts w:ascii="Amiri" w:hAnsi="Amiri" w:eastAsia="Amiri" w:cs="Amiri"/>
          <w:color w:val="111111"/>
          <w:sz w:val="28"/>
          <w:sz w:val="28"/>
          <w:szCs w:val="28"/>
          <w:rtl w:val="true"/>
          <w:lang w:bidi="ar-SA"/>
        </w:rPr>
        <w:t>، و ما كان حاله كذلك لا معنى لطريقيّته و كاشفيّته، و التصادف الدائميّ أو الأكثريّ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اللَّه تعالى و الأسباب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مُمكناً، لكنّه بعيد غايته، بل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لسانَ عمومات باب القرعة مثل قوله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مجهول ففيه</w:t>
      </w:r>
    </w:p>
    <w:p>
      <w:pPr>
        <w:pStyle w:val="BookText"/>
        <w:rPr/>
      </w:pP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w:t>
      </w:r>
    </w:p>
    <w:p>
      <w:pPr>
        <w:pStyle w:val="BookText"/>
        <w:rPr/>
      </w:pPr>
      <w:r>
        <w:rPr>
          <w:rStyle w:val="FootnoteAnchor"/>
          <w:rtl w:val="true"/>
        </w:rPr>
        <w:footnoteReference w:id="85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لكلّ أمر مُشتبه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أشكل</w:t>
      </w:r>
      <w:r>
        <w:rPr>
          <w:rFonts w:eastAsia="Amiri" w:cs="Amiri" w:ascii="Amiri" w:hAnsi="Amiri"/>
          <w:color w:val="111111"/>
          <w:sz w:val="28"/>
          <w:szCs w:val="28"/>
          <w:rtl w:val="true"/>
          <w:lang w:bidi="ar-SA"/>
        </w:rPr>
        <w:t>)</w:t>
      </w:r>
    </w:p>
    <w:p>
      <w:pPr>
        <w:pStyle w:val="BookText"/>
        <w:rPr/>
      </w:pPr>
      <w:r>
        <w:rPr>
          <w:rStyle w:val="FootnoteAnchor"/>
          <w:rtl w:val="true"/>
        </w:rPr>
        <w:footnoteReference w:id="860"/>
      </w:r>
      <w:r>
        <w:rPr>
          <w:rFonts w:ascii="Amiri" w:hAnsi="Amiri" w:eastAsia="Amiri" w:cs="Amiri"/>
          <w:color w:val="111111"/>
          <w:sz w:val="28"/>
          <w:sz w:val="28"/>
          <w:szCs w:val="28"/>
          <w:rtl w:val="true"/>
          <w:lang w:bidi="ar-SA"/>
        </w:rPr>
        <w:t>لسانُ الأصل و الوظيفة لدى الجهل و الاشتباه، لا الأمارة، فهي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w:t>
      </w:r>
    </w:p>
    <w:p>
      <w:pPr>
        <w:pStyle w:val="BookText"/>
        <w:rPr/>
      </w:pPr>
      <w:r>
        <w:rPr>
          <w:rStyle w:val="FootnoteAnchor"/>
          <w:rtl w:val="true"/>
        </w:rPr>
        <w:footnoteReference w:id="86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تعرف أنَّه حرام بعينه</w:t>
      </w:r>
      <w:r>
        <w:rPr>
          <w:rFonts w:eastAsia="Amiri" w:cs="Amiri" w:ascii="Amiri" w:hAnsi="Amiri"/>
          <w:color w:val="111111"/>
          <w:sz w:val="28"/>
          <w:szCs w:val="28"/>
          <w:rtl w:val="true"/>
          <w:lang w:bidi="ar-SA"/>
        </w:rPr>
        <w:t>)</w:t>
      </w:r>
    </w:p>
    <w:p>
      <w:pPr>
        <w:pStyle w:val="BookText"/>
        <w:rPr/>
      </w:pP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يقارع قوم فوّضوا أمرهم إلى اللَّه إلّا خرج سهم المُحقّ</w:t>
      </w:r>
      <w:r>
        <w:rPr>
          <w:rFonts w:eastAsia="Amiri" w:cs="Amiri" w:ascii="Amiri" w:hAnsi="Amiri"/>
          <w:color w:val="111111"/>
          <w:sz w:val="28"/>
          <w:szCs w:val="28"/>
          <w:rtl w:val="true"/>
          <w:lang w:bidi="ar-SA"/>
        </w:rPr>
        <w:t>)</w:t>
      </w:r>
    </w:p>
    <w:p>
      <w:pPr>
        <w:pStyle w:val="BookText"/>
        <w:rPr/>
      </w:pPr>
      <w:r>
        <w:rPr>
          <w:rStyle w:val="FootnoteAnchor"/>
          <w:rtl w:val="true"/>
        </w:rPr>
        <w:footnoteReference w:id="863"/>
      </w:r>
      <w:r>
        <w:rPr>
          <w:rFonts w:ascii="Amiri" w:hAnsi="Amiri" w:eastAsia="Amiri" w:cs="Amiri"/>
          <w:color w:val="111111"/>
          <w:sz w:val="28"/>
          <w:sz w:val="28"/>
          <w:szCs w:val="28"/>
          <w:rtl w:val="true"/>
          <w:lang w:bidi="ar-SA"/>
        </w:rPr>
        <w:t>فلعلّ المُراد منه ما في روايات اخر، كصحيحة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فأيّهم قرع فعليه اليمين، و هو أولى بالحقّ</w:t>
      </w:r>
      <w:r>
        <w:rPr>
          <w:rFonts w:eastAsia="Amiri" w:cs="Amiri" w:ascii="Amiri" w:hAnsi="Amiri"/>
          <w:color w:val="111111"/>
          <w:sz w:val="28"/>
          <w:szCs w:val="28"/>
          <w:rtl w:val="true"/>
          <w:lang w:bidi="ar-SA"/>
        </w:rPr>
        <w:t>)</w:t>
      </w:r>
    </w:p>
    <w:p>
      <w:pPr>
        <w:pStyle w:val="BookText"/>
        <w:rPr/>
      </w:pPr>
      <w:r>
        <w:rPr>
          <w:rStyle w:val="FootnoteAnchor"/>
          <w:rtl w:val="true"/>
        </w:rPr>
        <w:footnoteReference w:id="864"/>
      </w:r>
      <w:r>
        <w:rPr>
          <w:rFonts w:ascii="Amiri" w:hAnsi="Amiri" w:eastAsia="Amiri" w:cs="Amiri"/>
          <w:color w:val="111111"/>
          <w:sz w:val="28"/>
          <w:sz w:val="28"/>
          <w:szCs w:val="28"/>
          <w:rtl w:val="true"/>
          <w:lang w:bidi="ar-SA"/>
        </w:rPr>
        <w:t>و صحيحة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أولى بالقضاء</w:t>
      </w:r>
      <w:r>
        <w:rPr>
          <w:rFonts w:eastAsia="Amiri" w:cs="Amiri" w:ascii="Amiri" w:hAnsi="Amiri"/>
          <w:color w:val="111111"/>
          <w:sz w:val="28"/>
          <w:szCs w:val="28"/>
          <w:rtl w:val="true"/>
          <w:lang w:bidi="ar-SA"/>
        </w:rPr>
        <w:t>)</w:t>
      </w:r>
    </w:p>
    <w:p>
      <w:pPr>
        <w:pStyle w:val="BookText"/>
        <w:rPr/>
      </w:pPr>
      <w:r>
        <w:rPr>
          <w:rStyle w:val="FootnoteAnchor"/>
          <w:rtl w:val="true"/>
        </w:rPr>
        <w:footnoteReference w:id="865"/>
      </w:r>
      <w:r>
        <w:rPr>
          <w:rFonts w:ascii="Amiri" w:hAnsi="Amiri" w:eastAsia="Amiri" w:cs="Amiri"/>
          <w:color w:val="111111"/>
          <w:sz w:val="28"/>
          <w:sz w:val="28"/>
          <w:szCs w:val="28"/>
          <w:rtl w:val="true"/>
          <w:lang w:bidi="ar-SA"/>
        </w:rPr>
        <w:t>أي خرج سهم من هو أولى بالحق و القضاء؛ أي يكون الحقّ معه، فعليه اليمين، و على صحابه الإثبات، و مثل هذا التعبير متداول في باب القضاء</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المُراد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سهم المُحقّ إذا حلف، و هو عبارة اخرى عمّا في صحيح البصريّ،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إذا أتاه رجلان بشهود عدلهم سواء و عددهم أقرع بينهم على أيّهما تصير اليمين،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 ربّ الأرضين السبع، أيّهم كان له الحقّ فأدّه إليه، ثمّ يجعل الحقّ للذي يصير عليه اليمين إذا حلف</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أو على الأوّل يحمل ما في مُرسلة داود</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انظر معجم رجال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الاختلاف في الزوجة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يقرع بين الشهود، فمن خرج سهمه فهو المُحقّ، و هو أولى بها</w:t>
      </w:r>
      <w:r>
        <w:rPr>
          <w:rFonts w:eastAsia="Amiri" w:cs="Amiri" w:ascii="Amiri" w:hAnsi="Amiri"/>
          <w:color w:val="111111"/>
          <w:sz w:val="28"/>
          <w:szCs w:val="28"/>
          <w:rtl w:val="true"/>
          <w:lang w:bidi="ar-SA"/>
        </w:rPr>
        <w:t>)</w:t>
      </w:r>
    </w:p>
    <w:p>
      <w:pPr>
        <w:pStyle w:val="BookText"/>
        <w:rPr/>
      </w:pPr>
      <w:r>
        <w:rPr>
          <w:rStyle w:val="FootnoteAnchor"/>
          <w:rtl w:val="true"/>
        </w:rPr>
        <w:footnoteReference w:id="869"/>
      </w:r>
      <w:r>
        <w:rPr>
          <w:rFonts w:ascii="Amiri" w:hAnsi="Amiri" w:eastAsia="Amiri" w:cs="Amiri"/>
          <w:color w:val="111111"/>
          <w:sz w:val="28"/>
          <w:sz w:val="28"/>
          <w:szCs w:val="28"/>
          <w:rtl w:val="true"/>
          <w:lang w:bidi="ar-SA"/>
        </w:rPr>
        <w:t>فمن تدبّر في الروايات حقّة، و في تعبيرات كتاب القضاء عن الذي عليه اليمين، و عن صاحبه لا يستبعد هذا الحمل، كما تشهد عليه روايات باب القرعة فراجع و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قضيّة بحث الطيّار</w:t>
      </w:r>
      <w:r>
        <w:rPr>
          <w:rStyle w:val="FootnoteAnchor"/>
          <w:rtl w:val="true"/>
        </w:rPr>
        <w:footnoteReference w:id="870"/>
      </w:r>
      <w:r>
        <w:rPr>
          <w:rFonts w:ascii="Amiri" w:hAnsi="Amiri" w:eastAsia="Amiri" w:cs="Amiri"/>
          <w:color w:val="111111"/>
          <w:sz w:val="28"/>
          <w:sz w:val="28"/>
          <w:szCs w:val="28"/>
          <w:rtl w:val="true"/>
          <w:lang w:bidi="ar-SA"/>
        </w:rPr>
        <w:t>و زرارة كما</w:t>
      </w:r>
    </w:p>
    <w:p>
      <w:pPr>
        <w:pStyle w:val="BookText"/>
        <w:rPr/>
      </w:pPr>
      <w:r>
        <w:rPr>
          <w:rFonts w:ascii="Amiri" w:hAnsi="Amiri" w:eastAsia="Amiri" w:cs="Amiri"/>
          <w:color w:val="111111"/>
          <w:sz w:val="28"/>
          <w:sz w:val="28"/>
          <w:szCs w:val="28"/>
          <w:rtl w:val="true"/>
          <w:lang w:bidi="ar-SA"/>
        </w:rPr>
        <w:t>في صحيحة جميل قال قال الطيّار لزُرارة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المُساهمة أ ليس حقّاً؟</w:t>
      </w:r>
    </w:p>
    <w:p>
      <w:pPr>
        <w:pStyle w:val="BookText"/>
        <w:rPr/>
      </w:pP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ورد أنَّه يخرج سهم المُحقّ؟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 حتّى أدّعي أنا و أنت شيئاً ثمّ نساهم عليه، و ننظر هكذا هو؟</w:t>
      </w:r>
    </w:p>
    <w:p>
      <w:pPr>
        <w:pStyle w:val="BookText"/>
        <w:rPr/>
      </w:pP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الحديث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قوم فوّضوا أمرهم إلى اللَّه ثمّ اقترعوا إلّا خرج سهم المُحقّ</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فأمّا على التجارب فلم يوضع على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كانا جميعاً مُدّعيين ادّعيا ما ليس لهما، من أين يخرج سهم أحدهما؟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كذلك جعل معه سهم مُبيح </w:t>
      </w:r>
      <w:r>
        <w:rPr>
          <w:rStyle w:val="FootnoteAnchor"/>
          <w:rtl w:val="true"/>
        </w:rPr>
        <w:footnoteReference w:id="872"/>
      </w:r>
      <w:r>
        <w:rPr>
          <w:rFonts w:ascii="Amiri" w:hAnsi="Amiri" w:eastAsia="Amiri" w:cs="Amiri"/>
          <w:color w:val="111111"/>
          <w:sz w:val="28"/>
          <w:sz w:val="28"/>
          <w:szCs w:val="28"/>
          <w:rtl w:val="true"/>
          <w:lang w:bidi="ar-SA"/>
        </w:rPr>
        <w:t>فإن كانا ادّعيا ما ليس لهما</w:t>
      </w:r>
    </w:p>
    <w:p>
      <w:pPr>
        <w:pStyle w:val="BookText"/>
        <w:rPr/>
      </w:pPr>
      <w:r>
        <w:rPr>
          <w:rFonts w:ascii="Amiri" w:hAnsi="Amiri" w:eastAsia="Amiri" w:cs="Amiri"/>
          <w:color w:val="111111"/>
          <w:sz w:val="28"/>
          <w:sz w:val="28"/>
          <w:szCs w:val="28"/>
          <w:rtl w:val="true"/>
          <w:lang w:bidi="ar-SA"/>
        </w:rPr>
        <w:t xml:space="preserve">خرج سهم المُبيح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فليس فهمهما حُجّة، و لهذا ترى أنَّ زرارة أجاب أخيراً عن إشكال الطيّار جواباً إقناعيّاً غير صحيح في نفسه، و لا معمولًا به لدى الأصحاب، مع أنَّه من أين يعلم القاضي بطلان دعوييهما حتّى يجعل سهم المُبيح؟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لا معنى لجعل ذلك</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فرار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جواب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ما فهم من أخبار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سهم المُحقّ إنّما هو فيما كان مُحقّ و مُبطل، و إلّا فالقرعة لا تجعل غير المُحقّ مُحقّاً، و الحقّ عدم ورود الإشكال رأساً لما ذكرنا في معنى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يقارع قوم فوّضوا أمرهم إلى اللَّه إلّا خرج سهم المُحقّ</w:t>
      </w:r>
      <w:r>
        <w:rPr>
          <w:rFonts w:eastAsia="Amiri" w:cs="Amiri" w:ascii="Amiri" w:hAnsi="Amiri"/>
          <w:color w:val="111111"/>
          <w:sz w:val="28"/>
          <w:szCs w:val="28"/>
          <w:rtl w:val="true"/>
          <w:lang w:bidi="ar-SA"/>
        </w:rPr>
        <w:t>)</w:t>
      </w:r>
    </w:p>
    <w:p>
      <w:pPr>
        <w:pStyle w:val="BookText"/>
        <w:rPr/>
      </w:pPr>
      <w:r>
        <w:rPr>
          <w:rStyle w:val="FootnoteAnchor"/>
          <w:rtl w:val="true"/>
        </w:rPr>
        <w:footnoteReference w:id="874"/>
      </w:r>
      <w:r>
        <w:rPr>
          <w:rFonts w:ascii="Amiri" w:hAnsi="Amiri" w:eastAsia="Amiri" w:cs="Amiri"/>
          <w:color w:val="111111"/>
          <w:sz w:val="28"/>
          <w:sz w:val="28"/>
          <w:szCs w:val="28"/>
          <w:rtl w:val="true"/>
          <w:lang w:bidi="ar-SA"/>
        </w:rPr>
        <w:t xml:space="preserve">أنَّ القرعة ليست أمارة على الواقع، بل اللَّه تعالى إذا فوّض الأمر إليه يخرج سهم المُحقّ بإرادته و أسباب غيبيّة، و هذا غير أماريّتها كما لا يخفى، لكنّ القول الفصل ما تقدّم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يقارع 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آخرة لا يكون بصدد بيان موضوع القرعة و موردها، فموضوعها و موردها الأمر المجهول و المُشتبه و المُشكل في باب تزاحم الحقوق و التنازع</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تقدّم أدلة الاستصحاب على أدلّتها، فيكون تقدّمها عليها كتقدّمها على أدلّة أصالة الحلّ و الطهارة، فتكون أدلّته حاكمة عليها، كحكومتها عليهما، و قد مرّت </w:t>
      </w:r>
      <w:r>
        <w:rPr>
          <w:rStyle w:val="FootnoteAnchor"/>
          <w:rtl w:val="true"/>
        </w:rPr>
        <w:footnoteReference w:id="876"/>
      </w:r>
      <w:r>
        <w:rPr>
          <w:rFonts w:ascii="Amiri" w:hAnsi="Amiri" w:eastAsia="Amiri" w:cs="Amiri"/>
          <w:color w:val="111111"/>
          <w:sz w:val="28"/>
          <w:sz w:val="28"/>
          <w:szCs w:val="28"/>
          <w:rtl w:val="true"/>
          <w:lang w:bidi="ar-SA"/>
        </w:rPr>
        <w:t>كيفيّة الحكومة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الدليلين و إن كان عموم من وجه؛ لاختصاص أدلّة القرعة بباب تزاحم الحقوق و المُنازعات كما عرفت </w:t>
      </w:r>
      <w:r>
        <w:rPr>
          <w:rStyle w:val="FootnoteAnchor"/>
          <w:rtl w:val="true"/>
        </w:rPr>
        <w:footnoteReference w:id="877"/>
      </w:r>
      <w:r>
        <w:rPr>
          <w:rFonts w:ascii="Amiri" w:hAnsi="Amiri" w:eastAsia="Amiri" w:cs="Amiri"/>
          <w:color w:val="111111"/>
          <w:sz w:val="28"/>
          <w:sz w:val="28"/>
          <w:szCs w:val="28"/>
          <w:rtl w:val="true"/>
          <w:lang w:bidi="ar-SA"/>
        </w:rPr>
        <w:t>، لكن تتقدّم أدلّة الاستصحاب عليها بالحكومة، فما أفاده المُحقّق الأنصاريّ و تبعه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أعميّة أدلّة القرعة من أدلّة الاستصحاب، فيجب تخصيصها بها</w:t>
      </w:r>
      <w:r>
        <w:rPr>
          <w:rStyle w:val="FootnoteAnchor"/>
          <w:rtl w:val="true"/>
        </w:rPr>
        <w:footnoteReference w:id="878"/>
      </w:r>
      <w:r>
        <w:rPr>
          <w:rFonts w:ascii="Amiri" w:hAnsi="Amiri" w:eastAsia="Amiri" w:cs="Amiri"/>
          <w:color w:val="111111"/>
          <w:sz w:val="28"/>
          <w:sz w:val="28"/>
          <w:szCs w:val="28"/>
          <w:rtl w:val="true"/>
          <w:lang w:bidi="ar-SA"/>
        </w:rPr>
        <w:t>كما ترى</w:t>
      </w:r>
    </w:p>
    <w:p>
      <w:pPr>
        <w:pStyle w:val="BookText"/>
        <w:rPr/>
      </w:pPr>
      <w:r>
        <w:rPr>
          <w:rFonts w:ascii="Amiri" w:hAnsi="Amiri" w:eastAsia="Amiri" w:cs="Amiri"/>
          <w:color w:val="111111"/>
          <w:sz w:val="28"/>
          <w:sz w:val="28"/>
          <w:szCs w:val="28"/>
          <w:rtl w:val="true"/>
          <w:lang w:bidi="ar-SA"/>
        </w:rPr>
        <w:t>هذا كلّه بناءً على أنَّ المُراد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الواردة في أدلّة القرعة هو ذلك بحسب الواقع، و يكون معنى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p>
    <w:p>
      <w:pPr>
        <w:pStyle w:val="BookText"/>
        <w:rPr/>
      </w:pP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تعلّق الجهل بواقعه ففيه القرعة، فإذا دار الأمر بين كون مال لزيد أو عمرو و لم يعلم أنَّه من أيّهما ففيه القرعة، و كذا الحال في المُشتبه و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هاهنا احتمال آخر قريب بعد الدقّة في مجموع الأدلّة و التتبّع في كلمات الأصحاب، و إن كان مُخالفاً لظاهر بعض الروايات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المُراد منها أنَّ كلّ أمر مُشكل في مقام القضاء، و مُشتبهٍ على القاضي، و مجهول فيه ميزان القضاء ففيه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فيرجع محصّل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الامور المرفوعة إلى القاضي إذا علم فيها ميزان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لديه ما يشخّص المُدّعي و المُنكر، ككون أحدهما ذا اليد، أو قوله مُطابقاً لأصل عُقلائيّ أو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الأمر مجهولًا عنده، و لا القضاء مُشتبهاً و مُشكلًا؛ لأنَّ البيّنة على المُدّعي، و اليمين على المُدّعى عليه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الأمر الوارد عليه مجهولًا بحسب ميزان القضاء فلا بدّ من التشبّث بالقرعة لتشخيص من عليه اليمين، و تمييز ميزان القضاء، لا لتشخيص الواقع، أمّا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w:t>
      </w:r>
    </w:p>
    <w:p>
      <w:pPr>
        <w:pStyle w:val="BookText"/>
        <w:rPr/>
      </w:pPr>
      <w:r>
        <w:rPr>
          <w:rStyle w:val="FootnoteAnchor"/>
          <w:rtl w:val="true"/>
        </w:rPr>
        <w:footnoteReference w:id="880"/>
      </w:r>
      <w:r>
        <w:rPr>
          <w:rFonts w:ascii="Amiri" w:hAnsi="Amiri" w:eastAsia="Amiri" w:cs="Amiri"/>
          <w:color w:val="111111"/>
          <w:sz w:val="28"/>
          <w:sz w:val="28"/>
          <w:szCs w:val="28"/>
          <w:rtl w:val="true"/>
          <w:lang w:bidi="ar-SA"/>
        </w:rPr>
        <w:t>فيمكن دعوى ظهوره في ذلك؛ لأنَّ الظاهر من المُشكل أنَّ الحكم فيه مُشكل، لا أنَّه مجهول واقعه، فلا يقال للأمر المجهول إنَّه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أوجبوا الحكم بالقرعة فيما أشكل، 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حكم في المُلتبس أثبت من القرعة؟ أ ليس هو التفويض إلى اللَّه جلّ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قصّة يونس و مريم و عبد المُطّلب </w:t>
      </w:r>
      <w:r>
        <w:rPr>
          <w:rStyle w:val="FootnoteAnchor"/>
          <w:rtl w:val="true"/>
        </w:rPr>
        <w:footnoteReference w:id="881"/>
      </w:r>
      <w:r>
        <w:rPr>
          <w:rFonts w:ascii="Amiri" w:hAnsi="Amiri" w:eastAsia="Amiri" w:cs="Amiri"/>
          <w:color w:val="111111"/>
          <w:sz w:val="28"/>
          <w:sz w:val="28"/>
          <w:szCs w:val="28"/>
          <w:rtl w:val="true"/>
          <w:lang w:bidi="ar-SA"/>
        </w:rPr>
        <w:t>، فإنَّ الظاهر منه أنّهم أوجبوا أن يحكم القاضي إذا أشكل عليه الأمر؛ أي في القضايا المُشكلة بالقرعة، و يؤيّده بل يدلّ عليه تمسّكه بقصّة مريم و يونس؛ فإنَّ الأمر فيهما مُشكل بحسب الحكم و القضاء لا مجهول؛ لعدم واقع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w:t>
      </w:r>
    </w:p>
    <w:p>
      <w:pPr>
        <w:pStyle w:val="BookText"/>
        <w:rPr/>
      </w:pPr>
      <w:r>
        <w:rPr>
          <w:rFonts w:ascii="Amiri" w:hAnsi="Amiri" w:eastAsia="Amiri" w:cs="Amiri"/>
          <w:color w:val="111111"/>
          <w:sz w:val="28"/>
          <w:sz w:val="28"/>
          <w:szCs w:val="28"/>
          <w:rtl w:val="true"/>
          <w:lang w:bidi="ar-SA"/>
        </w:rPr>
        <w:t>ما عن الاختصاص بإسناده عن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الصلاة و السلام كان إذا ورد عليه أمر لم يجئ فيه كتاب، و لم تجر فيه سنّة رجم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الرحيم و تلك من المُعضلات</w:t>
      </w:r>
      <w:r>
        <w:rPr>
          <w:rFonts w:eastAsia="Amiri" w:cs="Amiri" w:ascii="Amiri" w:hAnsi="Amiri"/>
          <w:color w:val="111111"/>
          <w:sz w:val="28"/>
          <w:szCs w:val="28"/>
          <w:rtl w:val="true"/>
          <w:lang w:bidi="ar-SA"/>
        </w:rPr>
        <w:t>)</w:t>
      </w:r>
    </w:p>
    <w:p>
      <w:pPr>
        <w:pStyle w:val="BookText"/>
        <w:rPr/>
      </w:pP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ورود الأمر عليه رفع الأمر إليه للحكومة، و معنى عدم مجي‌ء كتاب و إجراء سنّة فيه عدم ورود ميزان القضاء و الحكم فيه، و إلّا فليس من موضوع إلّا و له حكم من الكتاب أو السنّة، فالمُساهمة ميزان القضاء حيث لا ميزان من الكتاب و السنّة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المُراد من عدم إجراء السنّة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القرعة أيضاً سنّة كما نصّ عليه في</w:t>
      </w:r>
    </w:p>
    <w:p>
      <w:pPr>
        <w:pStyle w:val="BookText"/>
        <w:rPr/>
      </w:pPr>
      <w:r>
        <w:rPr>
          <w:rFonts w:ascii="Amiri" w:hAnsi="Amiri" w:eastAsia="Amiri" w:cs="Amiri"/>
          <w:color w:val="111111"/>
          <w:sz w:val="28"/>
          <w:sz w:val="28"/>
          <w:szCs w:val="28"/>
          <w:rtl w:val="true"/>
          <w:lang w:bidi="ar-SA"/>
        </w:rPr>
        <w:t xml:space="preserve">رواية سيابة و إبراهيم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اليماني الصنعاني، شيخ من أصحابنا، ثقة، روى عن الإمامين أبي جعفر و 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الفهرست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لم تجر عليه السنّة الابتدائيّة؛ لأنَّ القرعة عُقلائيّة قد أمضاها الشارع، و قوله في ذيلها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من المُعضلات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بمنزلة التفسير لما ورد من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أوجبوا الحكم بالقرعة فيما أشكل</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المُشكل و المُعضل الذي هو موضوع القرعة إنّما هو من قبيل الأمر الوارد على الحاكم و لم يأت فيه كتاب، و لم تجر فيه سنّة للقضاء و الحكم،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معقد إجماع الحلّي المُتقدّم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أمر مُشكل يشتبه فيه الحكم فينبغي أن يستعمل فيه القرعة</w:t>
      </w:r>
      <w:r>
        <w:rPr>
          <w:rStyle w:val="FootnoteAnchor"/>
          <w:rtl w:val="true"/>
        </w:rPr>
        <w:footnoteReference w:id="885"/>
      </w:r>
      <w:r>
        <w:rPr>
          <w:rFonts w:ascii="Amiri" w:hAnsi="Amiri" w:eastAsia="Amiri" w:cs="Amiri"/>
          <w:color w:val="111111"/>
          <w:sz w:val="28"/>
          <w:sz w:val="28"/>
          <w:szCs w:val="28"/>
          <w:rtl w:val="true"/>
          <w:lang w:bidi="ar-SA"/>
        </w:rPr>
        <w:t>فإنَّ الظاهر منه أنَّ المُشكل و المُشتبه ما يكون الحكم فيه مُشتبهاً و مُشكلًا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p>
    <w:p>
      <w:pPr>
        <w:pStyle w:val="BookText"/>
        <w:rPr/>
      </w:pPr>
      <w:r>
        <w:rPr>
          <w:rStyle w:val="FootnoteAnchor"/>
          <w:rtl w:val="true"/>
        </w:rPr>
        <w:footnoteReference w:id="886"/>
      </w:r>
      <w:r>
        <w:rPr>
          <w:rFonts w:ascii="Amiri" w:hAnsi="Amiri" w:eastAsia="Amiri" w:cs="Amiri"/>
          <w:color w:val="111111"/>
          <w:sz w:val="28"/>
          <w:sz w:val="28"/>
          <w:szCs w:val="28"/>
          <w:rtl w:val="true"/>
          <w:lang w:bidi="ar-SA"/>
        </w:rPr>
        <w:t xml:space="preserve">فلم ينقل لنا صدرها، و لعلّ فيه قرينة على ما ذكرنا، و عبارة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فهم منها ما ذكرنا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أمر مُشكل مجهول يشتبه الحكم فيه فينبغي أن يستعمل فيه القرعة، لما روي عن أبي الحسن موسى عليه السلام و روى الرواية المُتقدّمة</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جمعه بين المُشكل و المجهول و المُشتبه في عبارة واحدة، و التمسّك بالرواية التي ليس فيها إلّا عنوان المجهول دليل على أنَّ المُشكل و المجهول و المُشتبه عنده موضوع واحد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تقدّم الاستصحاب على القرعة أوضح؛ لأنَّ الاستصحاب يرفع الإشكال في مقام القضاء؛ لأنَّه إذا كان قول أحد المُدّعيين مُطابقاً</w:t>
      </w:r>
    </w:p>
    <w:p>
      <w:pPr>
        <w:pStyle w:val="BookText"/>
        <w:rPr/>
      </w:pPr>
      <w:r>
        <w:rPr>
          <w:rFonts w:ascii="Amiri" w:hAnsi="Amiri" w:eastAsia="Amiri" w:cs="Amiri"/>
          <w:color w:val="111111"/>
          <w:sz w:val="28"/>
          <w:sz w:val="28"/>
          <w:szCs w:val="28"/>
          <w:rtl w:val="true"/>
          <w:lang w:bidi="ar-SA"/>
        </w:rPr>
        <w:t>للاستصحاب يقضي له و تصير اليمين إليه، لكن هذا الاحتمال و إن كان قريباً بالنسبة إلى جمع من الروايات لكن لا ينطبق على جميعها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المُدّعى هو تطبيق الأدلّة العامّة على ذاك الاحتمال، و هو قريب جدّاً، و لك أن تقول بأوسعيّة نطاقها من رفع الأمر إلى القاضي، و من رفع الأمر إلى الوالي، بل و من موارد التشاحّ بين الرعية، مع حفظ أن يكون المُراد من الأمر المُشكل الإشكال في حلّ العقدة، سواءً كان الإشكال لأجل قضاء القاضي، أو الحاكم السياسيّ أو قضاء المُتخاصمين في حلّ القضيّة لعدم الترجيح، و عدم طريق إلى الحلّ، و على ذلك تنطبق عليه جميع الأدلّة،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تقدّم دليل الاستصحاب على أدلّة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مصبّ القرعة و أخبارها العامّة بباب مُشكلات القضاء أو الأعمّ منها و من موارد تزاحم الحقوق يتّضح عدم تماسها مع أدلّة البراءة و الاحتياط، و التخيير، و الحلّ،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الأعاظم ذكر في المقام شيئاً لا يخلو من 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لا يمكن اجتماع الاستصحاب و القرعة في مورد حتّى تلاحظ النسبة بينهما؛ لأنّها مُختصّة بموارد اشتباه موضوع التكليف و تردّده بين الامور المُتباينة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محلّ لها في الشبهات البدويّة؛ فإنَّه ليس فيها إلّا الاحتمالان في موضوع واحد، و القرعة إنّما تكون في الشيئين أو الأشياء، فموارد الاستصحاب كالبراءة و الحلّ خارجة عن عموم أخبار القرعة بالتخصّص، لا بالتخصيص </w:t>
      </w:r>
      <w:r>
        <w:rPr>
          <w:rStyle w:val="FootnoteAnchor"/>
          <w:rtl w:val="true"/>
        </w:rPr>
        <w:footnoteReference w:id="888"/>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واضح؛ ضرورة أنَّ أدلّة الاستصحاب لا تختصّ بالشبهات البدويّة، و موارد اجتماع الاستصحاب و القرعة كثيرة إلى ما شاء اللَّه، خصوصاً في موارد الجهل</w:t>
      </w:r>
      <w:bookmarkStart w:id="539" w:name="pg2245_13155"/>
    </w:p>
    <w:p>
      <w:pPr>
        <w:pStyle w:val="BookText"/>
        <w:rPr/>
      </w:pPr>
      <w:bookmarkEnd w:id="539"/>
      <w:r>
        <w:rPr>
          <w:rFonts w:ascii="Amiri" w:hAnsi="Amiri" w:eastAsia="Amiri" w:cs="Amiri"/>
          <w:color w:val="111111"/>
          <w:sz w:val="28"/>
          <w:sz w:val="28"/>
          <w:szCs w:val="28"/>
          <w:rtl w:val="true"/>
          <w:lang w:bidi="ar-SA"/>
        </w:rPr>
        <w:t>بتأريخ أحد الحادثين، كما لو عقد الوكيلان المرأة لرجلين، و جهل تأريخ أحدهما، فبناء على تقدّم الاستصحاب على القرعة يحكم بصحّة عقد معلوم التأريخ، كما أفتى به و بنظائره هذا المُحقّق في حواشيه على العروة</w:t>
      </w:r>
      <w:r>
        <w:rPr>
          <w:rStyle w:val="FootnoteAnchor"/>
          <w:rtl w:val="true"/>
        </w:rPr>
        <w:footnoteReference w:id="889"/>
      </w:r>
      <w:r>
        <w:rPr>
          <w:rFonts w:ascii="Amiri" w:hAnsi="Amiri" w:eastAsia="Amiri" w:cs="Amiri"/>
          <w:color w:val="111111"/>
          <w:sz w:val="28"/>
          <w:sz w:val="28"/>
          <w:szCs w:val="28"/>
          <w:rtl w:val="true"/>
          <w:lang w:bidi="ar-SA"/>
        </w:rPr>
        <w:t>، و أمّا لو قيل بعدم تقدّمه عليها فيكون من موارد القرعة، و له أمثال كثيرة في باب التنازع و القضاء، تدبّر</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614271_3804643083"/>
      <w:bookmarkStart w:id="541" w:name="_Toc196"/>
      <w:bookmarkEnd w:id="540"/>
      <w:r>
        <w:rPr>
          <w:rtl w:val="true"/>
        </w:rPr>
        <w:t>الأمر الرابع هل للأدلّة العامّة للقرعة إطلاقٌ من جميع الجهات أم لا؟</w:t>
      </w:r>
      <w:bookmarkEnd w:id="541"/>
    </w:p>
    <w:p>
      <w:pPr>
        <w:pStyle w:val="BookText"/>
        <w:rPr/>
      </w:pPr>
      <w:r>
        <w:rPr>
          <w:rFonts w:ascii="Amiri" w:hAnsi="Amiri" w:eastAsia="Amiri" w:cs="Amiri"/>
          <w:color w:val="111111"/>
          <w:sz w:val="28"/>
          <w:sz w:val="28"/>
          <w:szCs w:val="28"/>
          <w:rtl w:val="true"/>
          <w:lang w:bidi="ar-SA"/>
        </w:rPr>
        <w:t>لا إشكال في أنَّ الأحكام التي ثبتت بالقرعة للموضوعات مخالفة للُاصول و القواعد، فيجعل بها ما شكّ في ولديّته ولداً يرث أباه، و تترتّب عليه سائر أحكام الولديّة، و ما شكّ في حرّيّته حرّاً أو عبداً يترتّب عليه جميع آثارهما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شكّ في جهة من جهات القرعة و اعتبار شي‌ء فيها من مقرع خاصّ أو كلام أو دعاء مخصوص، و لم يدلّ إطلاق دليل أو دليل خاصّ من إجماع و غيره على عدمه فلا بدّ من الأخذ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للأدلّة العامّة إطلاق من جميع الجهات حتى يتمسّك به لدفع الشكوك أولا؟</w:t>
      </w:r>
    </w:p>
    <w:p>
      <w:pPr>
        <w:pStyle w:val="BookText"/>
        <w:rPr/>
      </w:pPr>
      <w:r>
        <w:rPr>
          <w:rFonts w:ascii="Amiri" w:hAnsi="Amiri" w:eastAsia="Amiri" w:cs="Amiri"/>
          <w:color w:val="111111"/>
          <w:sz w:val="28"/>
          <w:sz w:val="28"/>
          <w:szCs w:val="28"/>
          <w:rtl w:val="true"/>
          <w:lang w:bidi="ar-SA"/>
        </w:rPr>
        <w:t>فيه إشكال؛ لأنَّ رواية محمّد بن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0"/>
      </w:r>
      <w:r>
        <w:rPr>
          <w:rFonts w:ascii="Amiri" w:hAnsi="Amiri" w:eastAsia="Amiri" w:cs="Amiri"/>
          <w:color w:val="111111"/>
          <w:sz w:val="28"/>
          <w:sz w:val="28"/>
          <w:szCs w:val="28"/>
          <w:rtl w:val="true"/>
          <w:lang w:bidi="ar-SA"/>
        </w:rPr>
        <w:t>تدلّ بعمومها على أنَّ القرعة ثابتة لكلّ مورد مجهول، مع قطع النظر عن صدرها، و لكن ليس لها إطلاق من جهات اخر، فلو شككنا في اعتبار مُقرع خاصّ كالوالي و القاضي لا يرفع الشكّ 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عدم ذكر صدرها موهن لإطلاقها؛ لاحتمال كون الكلام محفوفاً بما</w:t>
      </w:r>
    </w:p>
    <w:p>
      <w:pPr>
        <w:pStyle w:val="BookText"/>
        <w:rPr/>
      </w:pPr>
      <w:r>
        <w:rPr>
          <w:rFonts w:ascii="Amiri" w:hAnsi="Amiri" w:eastAsia="Amiri" w:cs="Amiri"/>
          <w:color w:val="111111"/>
          <w:sz w:val="28"/>
          <w:sz w:val="28"/>
          <w:szCs w:val="28"/>
          <w:rtl w:val="true"/>
          <w:lang w:bidi="ar-SA"/>
        </w:rPr>
        <w:t>يضرّ بالإطلاق و العموم، و هذا الاحتمال الناشئ من تقطيع الرواية غير الاحتمال البدويّ الذي لا يعتني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ما رجحناه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باب القضاء و الحكومة، أعمّ من حكومة القاضي في باب الدعاوى أو حكومة الوالي في المنازعات السياسيّة، فحينئذٍ كانت القرعة من شأن القاضي كسائر شئون فصل الخصومات، و إذا رفع النزاع في الثاني إلى الوالي فالظاهر أنَّ القرعة أيضاً من شئونه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روايات الباب، كالتي وردت في المولود الذي ليس له ما للرجال و لا ما للنساء</w:t>
      </w:r>
      <w:r>
        <w:rPr>
          <w:rStyle w:val="FootnoteAnchor"/>
          <w:rtl w:val="true"/>
        </w:rPr>
        <w:footnoteReference w:id="891"/>
      </w:r>
      <w:r>
        <w:rPr>
          <w:rFonts w:ascii="Amiri" w:hAnsi="Amiri" w:eastAsia="Amiri" w:cs="Amiri"/>
          <w:color w:val="111111"/>
          <w:sz w:val="28"/>
          <w:sz w:val="28"/>
          <w:szCs w:val="28"/>
          <w:rtl w:val="true"/>
          <w:lang w:bidi="ar-SA"/>
        </w:rPr>
        <w:t>، و كمرسلة حمّاد</w:t>
      </w:r>
      <w:r>
        <w:rPr>
          <w:rStyle w:val="FootnoteAnchor"/>
          <w:rtl w:val="true"/>
        </w:rPr>
        <w:footnoteReference w:id="892"/>
      </w:r>
      <w:r>
        <w:rPr>
          <w:rFonts w:ascii="Amiri" w:hAnsi="Amiri" w:eastAsia="Amiri" w:cs="Amiri"/>
          <w:color w:val="111111"/>
          <w:sz w:val="28"/>
          <w:sz w:val="28"/>
          <w:szCs w:val="28"/>
          <w:rtl w:val="true"/>
          <w:lang w:bidi="ar-SA"/>
        </w:rPr>
        <w:t xml:space="preserve">، و رواية يونس </w:t>
      </w:r>
      <w:r>
        <w:rPr>
          <w:rStyle w:val="FootnoteAnchor"/>
          <w:rtl w:val="true"/>
        </w:rPr>
        <w:footnoteReference w:id="893"/>
      </w:r>
      <w:r>
        <w:rPr>
          <w:rFonts w:ascii="Amiri" w:hAnsi="Amiri" w:eastAsia="Amiri" w:cs="Amiri"/>
          <w:color w:val="111111"/>
          <w:sz w:val="28"/>
          <w:sz w:val="28"/>
          <w:szCs w:val="28"/>
          <w:rtl w:val="true"/>
          <w:lang w:bidi="ar-SA"/>
        </w:rPr>
        <w:t>، بل و صحيحة محمّد بن مسلم، عن أبي جعفر في الرجل يكون له المملوكون فيوصي بعتق ثلثهم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يسهم بينهم</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يظهر منها أنَّه كان المُتعارف في مثله الرجوع إليه في زمان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التراضي بالقرعة في بعض الموارد، كباب القسمة و التزاحم في المُشتركات، كما يجوز التصالح بغيرها، و التفصيل كسائر مباحث القرعة و فروعها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أوّلًا و آخراً و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فرغ من تسويده مؤلّفه الفقير روح اللَّه بن مصطفى الموسويّ</w:t>
      </w:r>
    </w:p>
    <w:p>
      <w:pPr>
        <w:pStyle w:val="BookText"/>
        <w:rPr/>
      </w:pPr>
      <w:r>
        <w:rPr>
          <w:rFonts w:ascii="Amiri" w:hAnsi="Amiri" w:eastAsia="Amiri" w:cs="Amiri"/>
          <w:color w:val="111111"/>
          <w:sz w:val="28"/>
          <w:sz w:val="28"/>
          <w:szCs w:val="28"/>
          <w:rtl w:val="true"/>
          <w:lang w:bidi="ar-SA"/>
        </w:rPr>
        <w:t>الخمينيّ، تاسع شهر رمضان المُبارك، سنة ألف و ثلاث مائة و سبعين في</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بلدة محلّات، حامداً مُصلّياً على النبيّ و آله الطاهرين</w:t>
      </w:r>
      <w:r>
        <w:rPr>
          <w:rFonts w:eastAsia="Amiri" w:cs="Amiri" w:ascii="Amiri" w:hAnsi="Amiri"/>
          <w:color w:val="111111"/>
          <w:sz w:val="28"/>
          <w:szCs w:val="28"/>
          <w:rtl w:val="true"/>
          <w:lang w:bidi="ar-SA"/>
        </w:rPr>
        <w:t>.</w:t>
      </w:r>
      <w:bookmarkStart w:id="542" w:name="pg2245_13158"/>
    </w:p>
    <w:p>
      <w:pPr>
        <w:pStyle w:val="Heading2"/>
        <w:numPr>
          <w:ilvl w:val="1"/>
          <w:numId w:val="1"/>
        </w:numPr>
        <w:rPr/>
      </w:pPr>
      <w:bookmarkStart w:id="543" w:name="__RefHeading___Toc1614273_3804643083"/>
      <w:bookmarkStart w:id="544" w:name="_Toc197"/>
      <w:bookmarkEnd w:id="542"/>
      <w:bookmarkEnd w:id="543"/>
      <w:r>
        <w:rPr>
          <w:rtl w:val="true"/>
        </w:rPr>
        <w:t>الفهارس العامّة</w:t>
      </w:r>
      <w:bookmarkEnd w:id="544"/>
    </w:p>
    <w:p>
      <w:pPr>
        <w:pStyle w:val="Heading3"/>
        <w:numPr>
          <w:ilvl w:val="2"/>
          <w:numId w:val="1"/>
        </w:numPr>
        <w:rPr/>
      </w:pPr>
      <w:bookmarkStart w:id="545" w:name="__RefHeading___Toc1614275_3804643083"/>
      <w:bookmarkStart w:id="546" w:name="_Toc198"/>
      <w:bookmarkEnd w:id="545"/>
      <w:r>
        <w:rPr>
          <w:rtl w:val="true"/>
        </w:rPr>
        <w:t>اشارة</w:t>
      </w:r>
      <w:bookmarkEnd w:id="5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الشريفة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الأنبياء و الأئمّة المعصومين عليهم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التحقيق</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الموضوعات</w:t>
      </w:r>
      <w:bookmarkStart w:id="547" w:name="pg2245_13160"/>
    </w:p>
    <w:p>
      <w:pPr>
        <w:pStyle w:val="Heading3"/>
        <w:numPr>
          <w:ilvl w:val="2"/>
          <w:numId w:val="1"/>
        </w:numPr>
        <w:rPr/>
      </w:pPr>
      <w:bookmarkStart w:id="548" w:name="__RefHeading___Toc1614277_3804643083"/>
      <w:bookmarkStart w:id="549" w:name="_Toc199"/>
      <w:bookmarkEnd w:id="547"/>
      <w:bookmarkEnd w:id="548"/>
      <w:r>
        <w:rPr/>
        <w:t>1</w:t>
      </w:r>
      <w:r>
        <w:rPr>
          <w:rtl w:val="true"/>
        </w:rPr>
        <w:t xml:space="preserve">- </w:t>
      </w:r>
      <w:r>
        <w:rPr>
          <w:rtl w:val="true"/>
        </w:rPr>
        <w:t>فهرست الآيات الكريمة</w:t>
      </w:r>
      <w:bookmarkEnd w:id="549"/>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lang w:bidi="ar-SA"/>
        </w:rPr>
        <w:t>125275</w:t>
      </w:r>
    </w:p>
    <w:p>
      <w:pPr>
        <w:pStyle w:val="BookText"/>
        <w:rPr/>
      </w:pP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lang w:bidi="ar-SA"/>
        </w:rPr>
        <w:t>6843</w:t>
      </w:r>
    </w:p>
    <w:p>
      <w:pPr>
        <w:pStyle w:val="BookText"/>
        <w:rPr/>
      </w:pP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lang w:bidi="ar-SA"/>
        </w:rPr>
        <w:t>6630</w:t>
      </w:r>
    </w:p>
    <w:p>
      <w:pPr>
        <w:pStyle w:val="BookText"/>
        <w:rPr/>
      </w:pPr>
      <w:r>
        <w:rPr>
          <w:rFonts w:ascii="Amiri" w:hAnsi="Amiri" w:eastAsia="Amiri" w:cs="Amiri"/>
          <w:color w:val="111111"/>
          <w:sz w:val="28"/>
          <w:sz w:val="28"/>
          <w:szCs w:val="28"/>
          <w:rtl w:val="true"/>
          <w:lang w:bidi="ar-SA"/>
        </w:rPr>
        <w:t xml:space="preserve">إنّي جاعلك للناس إماماً قال و من ذرّيتي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66124</w:t>
      </w:r>
    </w:p>
    <w:p>
      <w:pPr>
        <w:pStyle w:val="BookText"/>
        <w:rPr/>
      </w:pPr>
      <w:r>
        <w:rPr>
          <w:rFonts w:ascii="Amiri" w:hAnsi="Amiri" w:eastAsia="Amiri" w:cs="Amiri"/>
          <w:color w:val="111111"/>
          <w:sz w:val="28"/>
          <w:sz w:val="28"/>
          <w:szCs w:val="28"/>
          <w:rtl w:val="true"/>
          <w:lang w:bidi="ar-SA"/>
        </w:rPr>
        <w:t xml:space="preserve">قد نرى تقلّب وجهك في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69144</w:t>
      </w:r>
    </w:p>
    <w:p>
      <w:pPr>
        <w:pStyle w:val="BookText"/>
        <w:rPr/>
      </w:pPr>
      <w:r>
        <w:rPr>
          <w:rFonts w:ascii="Amiri" w:hAnsi="Amiri" w:eastAsia="Amiri" w:cs="Amiri"/>
          <w:color w:val="111111"/>
          <w:sz w:val="28"/>
          <w:sz w:val="28"/>
          <w:szCs w:val="28"/>
          <w:rtl w:val="true"/>
          <w:lang w:bidi="ar-SA"/>
        </w:rPr>
        <w:t xml:space="preserve">المطلّقات يتربّصن بأنفسهن ثلاثة قروء </w:t>
      </w:r>
      <w:r>
        <w:rPr>
          <w:rFonts w:eastAsia="Amiri" w:cs="Amiri" w:ascii="Amiri" w:hAnsi="Amiri"/>
          <w:color w:val="111111"/>
          <w:sz w:val="28"/>
          <w:szCs w:val="28"/>
          <w:lang w:bidi="ar-SA"/>
        </w:rPr>
        <w:t>244228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وَ لا يريد بكم العُسر </w:t>
      </w:r>
      <w:r>
        <w:rPr>
          <w:rFonts w:eastAsia="Amiri" w:cs="Amiri" w:ascii="Amiri" w:hAnsi="Amiri"/>
          <w:color w:val="111111"/>
          <w:sz w:val="28"/>
          <w:szCs w:val="28"/>
          <w:lang w:bidi="ar-SA"/>
        </w:rPr>
        <w:t>232185</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على الناس حجّ البيت من استطاع إليه سبيلًا </w:t>
      </w:r>
      <w:r>
        <w:rPr>
          <w:rFonts w:eastAsia="Amiri" w:cs="Amiri" w:ascii="Amiri" w:hAnsi="Amiri"/>
          <w:color w:val="111111"/>
          <w:sz w:val="28"/>
          <w:szCs w:val="28"/>
          <w:lang w:bidi="ar-SA"/>
        </w:rPr>
        <w:t>7397</w:t>
      </w:r>
    </w:p>
    <w:p>
      <w:pPr>
        <w:pStyle w:val="BookText"/>
        <w:rPr/>
      </w:pPr>
      <w:r>
        <w:rPr>
          <w:rFonts w:ascii="Amiri" w:hAnsi="Amiri" w:eastAsia="Amiri" w:cs="Amiri"/>
          <w:color w:val="111111"/>
          <w:sz w:val="28"/>
          <w:sz w:val="28"/>
          <w:szCs w:val="28"/>
          <w:rtl w:val="true"/>
          <w:lang w:bidi="ar-SA"/>
        </w:rPr>
        <w:t xml:space="preserve">و ما كنت لديهم إذ يلقون أقلامهم أيّهم يكفل 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39244</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قمتم إلى الصلاة فاغسلوا وجوهكم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الذين هادوا حرّمنا كلَّ ذي ظفرٍ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147146</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اسأل القرية </w:t>
      </w:r>
      <w:r>
        <w:rPr>
          <w:rFonts w:eastAsia="Amiri" w:cs="Amiri" w:ascii="Amiri" w:hAnsi="Amiri"/>
          <w:color w:val="111111"/>
          <w:sz w:val="28"/>
          <w:szCs w:val="28"/>
          <w:lang w:bidi="ar-SA"/>
        </w:rPr>
        <w:t>32682</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تنقضوا الأيمانَ بَعد توكيدها </w:t>
      </w:r>
      <w:r>
        <w:rPr>
          <w:rFonts w:eastAsia="Amiri" w:cs="Amiri" w:ascii="Amiri" w:hAnsi="Amiri"/>
          <w:color w:val="111111"/>
          <w:sz w:val="28"/>
          <w:szCs w:val="28"/>
          <w:lang w:bidi="ar-SA"/>
        </w:rPr>
        <w:t>3391</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 جعلنا نبيّاً </w:t>
      </w:r>
      <w:r>
        <w:rPr>
          <w:rFonts w:eastAsia="Amiri" w:cs="Amiri" w:ascii="Amiri" w:hAnsi="Amiri"/>
          <w:color w:val="111111"/>
          <w:sz w:val="28"/>
          <w:szCs w:val="28"/>
          <w:lang w:bidi="ar-SA"/>
        </w:rPr>
        <w:t>6649</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lang w:bidi="ar-SA"/>
        </w:rPr>
        <w:t>23178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lang w:bidi="ar-SA"/>
        </w:rPr>
        <w:t>387141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إن جاءكم فاسق بنبإ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322</w:t>
      </w:r>
      <w:bookmarkStart w:id="550" w:name="pg2245_13162"/>
    </w:p>
    <w:p>
      <w:pPr>
        <w:pStyle w:val="Heading3"/>
        <w:numPr>
          <w:ilvl w:val="2"/>
          <w:numId w:val="1"/>
        </w:numPr>
        <w:rPr/>
      </w:pPr>
      <w:bookmarkStart w:id="551" w:name="__RefHeading___Toc1614279_3804643083"/>
      <w:bookmarkStart w:id="552" w:name="_Toc200"/>
      <w:bookmarkEnd w:id="550"/>
      <w:bookmarkEnd w:id="551"/>
      <w:r>
        <w:rPr/>
        <w:t>2</w:t>
      </w:r>
      <w:r>
        <w:rPr>
          <w:rtl w:val="true"/>
        </w:rPr>
        <w:t xml:space="preserve">- </w:t>
      </w:r>
      <w:r>
        <w:rPr>
          <w:rtl w:val="true"/>
        </w:rPr>
        <w:t>فهرس الأحاديث الشريفة</w:t>
      </w:r>
      <w:bookmarkEnd w:id="552"/>
    </w:p>
    <w:p>
      <w:pPr>
        <w:pStyle w:val="BookText"/>
        <w:rPr/>
      </w:pPr>
      <w:r>
        <w:rPr>
          <w:rFonts w:ascii="Amiri" w:hAnsi="Amiri" w:eastAsia="Amiri" w:cs="Amiri"/>
          <w:color w:val="111111"/>
          <w:sz w:val="28"/>
          <w:sz w:val="28"/>
          <w:szCs w:val="28"/>
          <w:rtl w:val="true"/>
          <w:lang w:bidi="ar-SA"/>
        </w:rPr>
        <w:t xml:space="preserve">إذا بلغ الماء قدر كرٍّ لا ينجّسه شي‌ء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إذا خفت أن لا تكون وضعت وجهك إلّا مرة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إذا خفي الشهر فأتمّوا العدّة شعبان ثلاثين 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إذا شكّ الرجل بعد ما صلّى فلم يدرِ ثلاثاً صلّى أم أربعاً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إذا شكّ فليمض في صلاته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إذا شككت فابن على اليقين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إذا شككت في شي‌ء من الوضوء و قد دخلت في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إذا كنت قاعداً على وضوئك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إذا نشّ العصير أو غلى حرم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إذا وقع الحرّ و العبد و المشرك على امرأة في طُهرٍ واحد و ادّعوا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اشترها إلّا أن تكون لها بيّنة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أشد الناس حسرة يوم القيامة من يرى وضوءه على جلد غيره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افتتاح الصلاة الوضوء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اقرع بينهم، ثمّ استحلف الذين أصابهم القرع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أقرع الوالي بينهم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إنّ شكّ في الركوع بعد ما سجد فليمض،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إنّ كانت معمورة في لأهلها، فإن كانت خرِبة فأنت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إن كانت معمورة فيها أهلها فهي لهم، و إن كانت خربة قد جلا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إنَّ أمير المؤمنين عليه السلام قال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تحكم فينا بخلاف حكم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إنّ رجلين اختصما إلى عليّ عليه الصلاة و السلام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ورد عليه أمر لم يجي‌ء فيه كتاب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إنَّ القرعة لكلّ أمر مشتبه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إنَّ القرعة لكلّ أمر مشكل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إنّك إن شككت أن لم تؤذّن و قد أقمت فأمض،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أيّ قضية أعدل من القرعة إذا فوّض الأمر إلى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التراب أحد الطهورين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تعيد الصلاة و تغسله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اضطرّوا إليه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شهر رمضان يصيبه ما يصيب الشهور من النقصان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فإن لم يعرفها قسّمها نصفين أبداً حتّى يقع السهم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فأيّهما وقع السهم بها ذُبحت و أحرقت و نجا سائر الغنم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فأيّهم قرع فعليه اليمين، و هو أولى بالحقّ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فعلي أيّ شي‌ء هو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الذي أخبرتني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قد ركع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ascii="Amiri" w:hAnsi="Amiri" w:eastAsia="Amiri" w:cs="Amiri"/>
          <w:color w:val="111111"/>
          <w:sz w:val="28"/>
          <w:sz w:val="28"/>
          <w:szCs w:val="28"/>
          <w:rtl w:val="true"/>
          <w:lang w:bidi="ar-SA"/>
        </w:rPr>
        <w:t xml:space="preserve">قد ركعت أمضه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p>
    <w:p>
      <w:pPr>
        <w:pStyle w:val="BookText"/>
        <w:rPr/>
      </w:pPr>
      <w:r>
        <w:rPr>
          <w:rFonts w:ascii="Amiri" w:hAnsi="Amiri" w:eastAsia="Amiri" w:cs="Amiri"/>
          <w:color w:val="111111"/>
          <w:sz w:val="28"/>
          <w:sz w:val="28"/>
          <w:szCs w:val="28"/>
          <w:rtl w:val="true"/>
          <w:lang w:bidi="ar-SA"/>
        </w:rPr>
        <w:t xml:space="preserve">القرعة لا تكون إلّا للإمام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القرعة لكلّ أمر مشتبه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القرعة لكلّ أمر مشكل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 رجلان بشهود عدلهم سواء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يسهم بينهم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كلّ شي‌ء حلال حتّى تعرف أنَّه حرام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كلّ شي‌ء حلال حتّى تعلم أنَّه حرام بعينه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كلّ شي‌ء نظيف حتّى تعلم أنَّه قذر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كلّ شي‌ء هو لك حلال حتّى تعلم أنَّه حرام بعينه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كلّ ما حكم اللَّه به فليس بمخطئ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كلّ ما شككت فيه ممّا قد مضى فأمضه كما هو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Amiri" w:hAnsi="Amiri" w:eastAsia="Amiri" w:cs="Amiri"/>
          <w:color w:val="111111"/>
          <w:sz w:val="28"/>
          <w:sz w:val="28"/>
          <w:szCs w:val="28"/>
          <w:rtl w:val="true"/>
          <w:lang w:bidi="ar-SA"/>
        </w:rPr>
        <w:t xml:space="preserve">كلّ مجهول ففيه القرعة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409</w:t>
      </w:r>
    </w:p>
    <w:p>
      <w:pPr>
        <w:pStyle w:val="BookText"/>
        <w:rPr/>
      </w:pPr>
      <w:r>
        <w:rPr>
          <w:rFonts w:ascii="Amiri" w:hAnsi="Amiri" w:eastAsia="Amiri" w:cs="Amiri"/>
          <w:color w:val="111111"/>
          <w:sz w:val="28"/>
          <w:sz w:val="28"/>
          <w:szCs w:val="28"/>
          <w:rtl w:val="true"/>
          <w:lang w:bidi="ar-SA"/>
        </w:rPr>
        <w:t xml:space="preserve">كلّ مجهول فيه القرعة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لا تصل في وَبر ما لا يؤكل لحمه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لا سهو لمن أقرَّ على نفسه بالسهو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لا ضرر و لا ضرار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لا قِران بين السورتين في ركعة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لا ينقص الوضوء إلّا ما خرج من طرفيك أو النوم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ليس من قوم تقارعوا ثمّ فوّضوا أمرهم إلى اللَّه عزّ و جلّ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ليس من قوم فوّضوا أمرهم إلى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الماء كلّه طاهر حتّى تعلم أنَّه نجس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ما كان من متاع النساء فهو للمرأة، و ما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ما يؤدّي عنّي فعنّي يؤدّي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ما يقارع قوم فوّضوا أمرهم إلى اللَّه إلّا ما خرج سهم المحقّ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متى استيقنت أو شككت في وقت فريضة أنّك لم تصلّها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من زاد في صلاته فعليه الإعادة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من كان على يقين فأصابه شكّ فليمض على يقينه؛ فإنَّ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من كان على يقين فشكّ فليمضِ على يقينه؛ فإنَّ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في سعة ما لا يعلمون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فيحلّ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و أيّ حكم في الملتبس أثبت من القرعة؟ أ ليس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و أيّ قضيّة أعدل من قضيّة يجال عليها السهام؟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و لا يجوز أن يستخرجه أحد إلّا الإمام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و متى شككت في شي‌ء و أنت في حال اخرى فامض،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يا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يتّقي اللَّه و يعمل في ذلك بالمعروف، و لا يضرّ أخاه المؤمن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يركع ركعتين و أربع سجدات و هو قائم بفاتحة الكتاب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 xml:space="preserve">يسأل عنها أهل المنزل، لعلّهم يعرفونها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يسجد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يقرع بين الشهود، فمن خرج سهمه فهو المحقّ، و هو أولى بها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يقرع بينهم، فأيّهم قرع عليه اليمين فهو أولى بالقضاء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اليقين لا يدخله الشكّ، صم للرؤية و أفطر للرؤية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إذا خرجت من شي‌ء ثمّ دخلت في غيره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bookmarkStart w:id="553" w:name="pg2245_13168"/>
    </w:p>
    <w:p>
      <w:pPr>
        <w:pStyle w:val="Heading3"/>
        <w:numPr>
          <w:ilvl w:val="2"/>
          <w:numId w:val="1"/>
        </w:numPr>
        <w:rPr/>
      </w:pPr>
      <w:bookmarkStart w:id="554" w:name="__RefHeading___Toc1614281_3804643083"/>
      <w:bookmarkStart w:id="555" w:name="_Toc201"/>
      <w:bookmarkEnd w:id="553"/>
      <w:bookmarkEnd w:id="554"/>
      <w:r>
        <w:rPr/>
        <w:t>3</w:t>
      </w:r>
      <w:r>
        <w:rPr>
          <w:rtl w:val="true"/>
        </w:rPr>
        <w:t xml:space="preserve">- </w:t>
      </w:r>
      <w:r>
        <w:rPr>
          <w:rtl w:val="true"/>
        </w:rPr>
        <w:t xml:space="preserve">فهرس أسماء الأنبياء و الأئمّة المعصومين </w:t>
      </w:r>
      <w:r>
        <w:rPr>
          <w:rtl w:val="true"/>
        </w:rPr>
        <w:t>(</w:t>
      </w:r>
      <w:r>
        <w:rPr>
          <w:rtl w:val="true"/>
        </w:rPr>
        <w:t>عليهم السلام</w:t>
      </w:r>
      <w:r>
        <w:rPr>
          <w:rtl w:val="true"/>
        </w:rPr>
        <w:t>)</w:t>
      </w:r>
      <w:bookmarkEnd w:id="555"/>
    </w:p>
    <w:p>
      <w:pPr>
        <w:pStyle w:val="BookText"/>
        <w:rPr/>
      </w:pPr>
      <w:r>
        <w:rPr>
          <w:rFonts w:ascii="Amiri" w:hAnsi="Amiri" w:eastAsia="Amiri" w:cs="Amiri"/>
          <w:color w:val="111111"/>
          <w:sz w:val="28"/>
          <w:sz w:val="28"/>
          <w:szCs w:val="28"/>
          <w:rtl w:val="true"/>
          <w:lang w:bidi="ar-SA"/>
        </w:rPr>
        <w:t xml:space="preserve">رسول اللَّه، النبي، محمّد صلى الله عليه و آله و سلم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الأئمّة، آله، أهل البيت عليهم السلام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أمير المؤمنين، الإمام عليّ بن أبي طالب عليه السلام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الصدّيقة الطاهرة، فاطمة الزهراء عليها السلام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الإمام الباقر، أبو جعفر عليهما السلام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الإمام الصادق، أبو عبد اللَّه عليه السلام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الإمام الكاظم، أبو الحسن، أبو إبراهيم عليه السلام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الإمام الرضا، أبو الحسن عليه السلام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إبراهيم عليه السلام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يوسف عليه السلام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يونس عليه السلام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مريم عليه السلام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bookmarkStart w:id="556" w:name="pg2245_13170"/>
    </w:p>
    <w:p>
      <w:pPr>
        <w:pStyle w:val="Heading3"/>
        <w:numPr>
          <w:ilvl w:val="2"/>
          <w:numId w:val="1"/>
        </w:numPr>
        <w:rPr/>
      </w:pPr>
      <w:bookmarkStart w:id="557" w:name="__RefHeading___Toc1614283_3804643083"/>
      <w:bookmarkStart w:id="558" w:name="_Toc202"/>
      <w:bookmarkEnd w:id="556"/>
      <w:bookmarkEnd w:id="557"/>
      <w:r>
        <w:rPr/>
        <w:t>4</w:t>
      </w:r>
      <w:r>
        <w:rPr>
          <w:rtl w:val="true"/>
        </w:rPr>
        <w:t xml:space="preserve">- </w:t>
      </w:r>
      <w:r>
        <w:rPr>
          <w:rtl w:val="true"/>
        </w:rPr>
        <w:t>فهرس الأعلام</w:t>
      </w:r>
      <w:bookmarkEnd w:id="558"/>
    </w:p>
    <w:p>
      <w:pPr>
        <w:pStyle w:val="BookText"/>
        <w:rPr/>
      </w:pPr>
      <w:r>
        <w:rPr>
          <w:rFonts w:ascii="Amiri" w:hAnsi="Amiri" w:eastAsia="Amiri" w:cs="Amiri"/>
          <w:color w:val="111111"/>
          <w:sz w:val="28"/>
          <w:sz w:val="28"/>
          <w:szCs w:val="28"/>
          <w:rtl w:val="true"/>
          <w:lang w:bidi="ar-SA"/>
        </w:rPr>
        <w:t xml:space="preserve">الآخوند الخراساني المحقق الخراساني أحمد بن محمد بن حنبل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أبان بن عثمان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عمر اليماني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أحمد بن محمد بن الوليد </w:t>
      </w:r>
      <w:r>
        <w:rPr>
          <w:rFonts w:eastAsia="Amiri" w:cs="Amiri" w:ascii="Amiri" w:hAnsi="Amiri"/>
          <w:color w:val="111111"/>
          <w:sz w:val="28"/>
          <w:szCs w:val="28"/>
          <w:lang w:bidi="ar-SA"/>
        </w:rPr>
        <w:t>323</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إبراهيم النخعي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جابر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ابن أبي ليلى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 الشيخ</w:t>
      </w:r>
    </w:p>
    <w:p>
      <w:pPr>
        <w:pStyle w:val="BookText"/>
        <w:rPr/>
      </w:pPr>
      <w:r>
        <w:rPr>
          <w:rFonts w:ascii="Amiri" w:hAnsi="Amiri" w:eastAsia="Amiri" w:cs="Amiri"/>
          <w:color w:val="111111"/>
          <w:sz w:val="28"/>
          <w:sz w:val="28"/>
          <w:szCs w:val="28"/>
          <w:rtl w:val="true"/>
          <w:lang w:bidi="ar-SA"/>
        </w:rPr>
        <w:t xml:space="preserve">ابن شيرة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عبد الواحد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البرقي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أبي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البزنطي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الخزاز، محمد بن الوليد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الخوانساري المحقق الخوانساري</w:t>
      </w:r>
    </w:p>
    <w:p>
      <w:pPr>
        <w:pStyle w:val="BookText"/>
        <w:rPr/>
      </w:pP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داود بن أبي يزيد </w:t>
      </w:r>
      <w:r>
        <w:rPr>
          <w:rFonts w:eastAsia="Amiri" w:cs="Amiri" w:ascii="Amiri" w:hAnsi="Amiri"/>
          <w:color w:val="111111"/>
          <w:sz w:val="28"/>
          <w:szCs w:val="28"/>
          <w:lang w:bidi="ar-SA"/>
        </w:rPr>
        <w:t>402</w:t>
      </w:r>
    </w:p>
    <w:p>
      <w:pPr>
        <w:pStyle w:val="BookText"/>
        <w:rPr/>
      </w:pP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سرحان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الأوزاعي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الهمداني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المحققين المولى الهمداني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بكير بن أعين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ثعلبة بن ميمون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بن صالح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الأشعري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الحسن بن محبوب السرّاد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سليمان بن داود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سهل بن زياد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سيّابة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محمد بن إدريس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الاستاذ عبد الكريم الحائري</w:t>
      </w:r>
    </w:p>
    <w:p>
      <w:pPr>
        <w:pStyle w:val="BookText"/>
        <w:rPr/>
      </w:pP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اليزدي شيخنا العلّامة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بن حمران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الصدوق، محمد بن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الباقي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العلاء بن رزين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الطباطبائي السيد اليزدي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عليّ بن جعفر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الطوسي الشيخ الطوسي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الزبير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الطائفة محمد بن الحسن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عليّ بن محمد القاساني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العيص بن القاسم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فضالة بن أيّوب </w:t>
      </w:r>
      <w:r>
        <w:rPr>
          <w:rFonts w:eastAsia="Amiri" w:cs="Amiri" w:ascii="Amiri" w:hAnsi="Amiri"/>
          <w:color w:val="111111"/>
          <w:sz w:val="28"/>
          <w:szCs w:val="28"/>
          <w:lang w:bidi="ar-SA"/>
        </w:rPr>
        <w:t>406269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يسار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العباس بن هلال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يحيى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عبد الرحمن 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الكاشاني، محمد محسن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ميمون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الكركي المحقق الثاني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عبد الرحمن بن الحجاج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عبد الرحيم بن روح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عبد الكريم بن عمرو الخثعمي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عبد اللَّه بن أبي يعفور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المحقق الخراساني الآخوند</w:t>
      </w:r>
    </w:p>
    <w:p>
      <w:pPr>
        <w:pStyle w:val="BookText"/>
        <w:rPr/>
      </w:pP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المحقق المعاصر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بن عيسى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النائيني المحقق النائيني بعض</w:t>
      </w:r>
    </w:p>
    <w:p>
      <w:pPr>
        <w:pStyle w:val="BookText"/>
        <w:rPr/>
      </w:pP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أعاظم العصر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حكيم الخثعمي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محمد بن مكي الشهيد الأوّل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محمد بن منصور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النراقي، المولى أحمد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الشيخ البهائي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عقبة </w:t>
      </w:r>
      <w:r>
        <w:rPr>
          <w:rFonts w:eastAsia="Amiri" w:cs="Amiri" w:ascii="Amiri" w:hAnsi="Amiri"/>
          <w:color w:val="111111"/>
          <w:sz w:val="28"/>
          <w:szCs w:val="28"/>
          <w:lang w:bidi="ar-SA"/>
        </w:rPr>
        <w:t>151</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الشيخ المفيد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bookmarkStart w:id="559" w:name="pg2245_13174"/>
    </w:p>
    <w:p>
      <w:pPr>
        <w:pStyle w:val="Heading3"/>
        <w:numPr>
          <w:ilvl w:val="2"/>
          <w:numId w:val="1"/>
        </w:numPr>
        <w:rPr/>
      </w:pPr>
      <w:bookmarkStart w:id="560" w:name="__RefHeading___Toc1614285_3804643083"/>
      <w:bookmarkStart w:id="561" w:name="_Toc203"/>
      <w:bookmarkEnd w:id="559"/>
      <w:bookmarkEnd w:id="560"/>
      <w:r>
        <w:rPr/>
        <w:t>5</w:t>
      </w:r>
      <w:r>
        <w:rPr>
          <w:rtl w:val="true"/>
        </w:rPr>
        <w:t xml:space="preserve">- </w:t>
      </w:r>
      <w:r>
        <w:rPr>
          <w:rtl w:val="true"/>
        </w:rPr>
        <w:t>فهرس الكتب</w:t>
      </w:r>
      <w:bookmarkEnd w:id="561"/>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تمهيد القواعد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التهذيب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حاشية الآخوند على الرسائل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حاشية المحقق الهمداني على الرسائل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دُرر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الرسائل فرائد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عوائد الأيّام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الفقه المنسوب للإمام الرضا عليه السلام فقه الرضوي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الفقيه 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القواعد و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معارج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الوسائل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bookmarkStart w:id="562" w:name="pg2245_13176"/>
    </w:p>
    <w:p>
      <w:pPr>
        <w:pStyle w:val="Heading3"/>
        <w:numPr>
          <w:ilvl w:val="2"/>
          <w:numId w:val="1"/>
        </w:numPr>
        <w:rPr/>
      </w:pPr>
      <w:bookmarkStart w:id="563" w:name="__RefHeading___Toc1614287_3804643083"/>
      <w:bookmarkStart w:id="564" w:name="_Toc204"/>
      <w:bookmarkEnd w:id="562"/>
      <w:bookmarkEnd w:id="563"/>
      <w:r>
        <w:rPr/>
        <w:t>6</w:t>
      </w:r>
      <w:r>
        <w:rPr>
          <w:rtl w:val="true"/>
        </w:rPr>
        <w:t xml:space="preserve">- </w:t>
      </w:r>
      <w:r>
        <w:rPr>
          <w:rtl w:val="true"/>
        </w:rPr>
        <w:t>مصادر التحقيق</w:t>
      </w:r>
      <w:bookmarkEnd w:id="5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أجود التقريرات، السيد أبو القاسم ابن السيد عليّ أكبر الموسوي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مكتبة المصطفوي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المنسوب إلى 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أكبر الغفاري، قم،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 رجال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الأذهان إلى أحكام الإيمان، العلّامة الحلّي جمال الدين حسن بن يوسف ابن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فارس الحسّون، الطبعة الاولى، قم، مؤسسة النشر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أبو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بيروت، مؤسسة الأعلمي،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فيما اختلف من الأخبار، أبو جعفر شيخ الطائفة محمد بن الحسن</w:t>
      </w:r>
    </w:p>
    <w:p>
      <w:pPr>
        <w:pStyle w:val="BookText"/>
        <w:rPr/>
      </w:pPr>
      <w:r>
        <w:rPr>
          <w:rFonts w:ascii="Amiri" w:hAnsi="Amiri" w:eastAsia="Amiri" w:cs="Amiri"/>
          <w:color w:val="111111"/>
          <w:sz w:val="28"/>
          <w:sz w:val="28"/>
          <w:szCs w:val="28"/>
          <w:rtl w:val="true"/>
          <w:lang w:bidi="ar-SA"/>
        </w:rPr>
        <w:t xml:space="preserve">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الموسوي الخرسان، الطبعة الثالثة،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في معرفة الصحابة، أبو الحسن عز الدين علي بن أبي الكرم محمد بن محمد بن عبد الكريم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دار إحياء التراث العربي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الأسفار الحكمة المتعالية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أبو الفضل شهاب الدين أحمد بن عليّ المعروف بابن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بالأُوفست عن الطبعة الاولى، مصر، مطبعة السعادة،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السادسة،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دار العلم للملايين،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 طهران،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سيد محسن بن عبد الكريم الأمين الحسيني العاملي الشقرائي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الأمين، الطبعة الخامسة،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التعارف للمطبوعات،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في علماء جبل عامل، شيخ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أحمد الحسيني، الطبعة الثانية، مجلّدان، قم، دار الكتاب الإسلامي،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 عن الطبعة الاولى، بغداد مكتبة الأندلس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الهداية في التعليقة على الكفاية، الإمام الخميني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قم، مؤسسة تنظيم و نشر آثار الإمام الخميني قدس سره،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الوسائل في شرح الرسائل، العلّامة المحقق الميرزا موسى بن جعفر بن المولى أحمد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 طهران، دار المعارف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بيروت، دار إحياء التراث العربي،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الفوائد في شرح الفوائد، العلّامة ميرزا محمد حسين الآشتياني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قم، مكتبة آية اللَّه المرعشي،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أبو الفداء إسماعيل بن كثير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عليّ شيري، الطبعة الاولى،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إحياء التراث العربي، </w:t>
      </w:r>
      <w:r>
        <w:rPr>
          <w:rFonts w:eastAsia="Amiri" w:cs="Amiri" w:ascii="Amiri" w:hAnsi="Amiri"/>
          <w:color w:val="111111"/>
          <w:sz w:val="28"/>
          <w:szCs w:val="28"/>
          <w:lang w:bidi="ar-SA"/>
        </w:rPr>
        <w:t>1408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السيد هاشم بن سليمان بن إسماعيل بن عبد الجواد الحسيني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قم، دار الكتب العلمية،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أبو جعفر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الميرزا محسن كوچه باغي، الطبعة الثانية،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المحدّثين، الشيخ سليمان الماحوزي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مطبعة سيد الشهداء عليه السلام،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أو مدينة السلام، أبو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الطاوسي المستخرج من كتاب حلّ الإشكال، الشيخ حسن بن زين الدين بن عليّ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فاضل الجواهري، الطبعة الاولى، قم، مكتبة آية اللَّه المرعشي،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عليهم السلام، أبو محمد بن الحسن بن عليّ بن الحسين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العلّامة الحلّي جمال الدين 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طهران، المكتبة المرتضوية لإحياء الآثار الجعفرية،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 عن طبعته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بيروت دار المعرفة،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بالأُوفست عن طبعته الاولى، بولاق، المطبعة الأميرية،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الطيب الموسوي الجزائري، الطبعة الثالثة، مجلّدان، قم،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الميرزا أبي الحسن الشعراني، الطبعة الخامسة،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المكتبة الإسلامية،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أمل الآمل، السيد حسن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الطبعة الاولى، قم، مكتبة آية اللَّه المرعشي،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القواعد، 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قم، مكتبة بصيرتي،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 عن طبعته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الرائع لمختصر الشرائع، جمال الدين المقداد بن عبد اللَّه السيوري الحلّي المعروف بالفاضل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عبد اللطيف الكوهكمري،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مكتبة آية اللَّه المرعشي،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في علم الرجال، الشيخ عبد اللَّه بن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بالأُوفست عن طبعة النجف الأشرف، المطبعة المرتضوية،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الموسوي الخرسان، الطبعة الثالثة،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الاصول، تقريراً لبحث الإمام الخميني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الشيخ جعفر السبحاني التبريزي، قم، مؤسسة النشر الإسلامي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في أسماء الرجال، أبو الحجّاج جمال الدين يوسف بن عبد الرحمن بن يوسف المزّي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بشّار عوّاد، الطبعة الاولى،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بيروت، مؤسسة الرسالة،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الاصول في أحاديث الرسول، أبو السعادات مجد الدين المبارك بن محمد ابن محمد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القادر الأرناووط، الطبعة الثانية،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بيروت، 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و إزاحة الاشتباهات عن الطرق و الأسناد، محمد بن عليّ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بيروت، دار الأضواء،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في شرح القواعد، المحقّق الثاني عليّ بن الحسين بن عبد العالي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لإحياء التراث، الطبعة الاولى،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آل البيت عليهم السلام لإحياء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شرح شرائع الإسلام، الشيخ محمد حسن بن باقر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عدة من الفضلاء، الطبعة السادسة،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طهران، دار الكتب الإسلامية،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النضيد في شرح كتاب التجريد، العلّامة الحلّي جمال الدين 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كفاية الاصول، تقريراً لبحث الحاج آقا حسين الطباطبائي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الشيخ بهاء الدين الحجتي، مجلدان، الطبعة الاولى، قم، مؤسسة أنصاريان،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كتاب فرائد الاصول، الآخوند الخراساني المولى محمد كاظم بن حسين</w:t>
      </w:r>
    </w:p>
    <w:p>
      <w:pPr>
        <w:pStyle w:val="BookText"/>
        <w:rPr/>
      </w:pPr>
      <w:r>
        <w:rPr>
          <w:rFonts w:ascii="Amiri" w:hAnsi="Amiri" w:eastAsia="Amiri" w:cs="Amiri"/>
          <w:color w:val="111111"/>
          <w:sz w:val="28"/>
          <w:sz w:val="28"/>
          <w:szCs w:val="28"/>
          <w:rtl w:val="true"/>
          <w:lang w:bidi="ar-SA"/>
        </w:rPr>
        <w:t xml:space="preserve">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مكتبة بصيرتي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المحقق الهمداني على الرسائل، الحاج آقا رضا بن محمد هادي الهمداني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العلّامة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قم، مؤسسة إسماعيليان،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العلّامة المحقق الشيخ محمد حسين الغروي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مجلدان، قم، مطبعة الغدير،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في أحكام العترة الطاهرة، الشيخ يوسف بن أحمد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النجف الأشرف، دار الكتب الإسلامية، قم مؤسسة النشر الإسلامي،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الاصول، السيد محسن الطباطبائي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مكتبة بصيرتي،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بالأُوفست عن طبعة النجف الأشرف المطبعة العلمية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المتعالية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إبراهيم صدر الدين الشيرازي المعروف بصدر المتألهين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قم، مكتبة المصطفوي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 طبقات الأصفياء، أبو نعيم 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الكتاب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 عن طبعة دار الريان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في معرفة الرجال، العلّامة الحلّي جمال الدين حسن بن يوسف ابن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محمد صادق بحر العلوم، قم، الرضي،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قم، إسماعيليان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الفوائد، الشيخ عبد الكريم الحائري اليزدي المهرجردي الميبدي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الفوائد، الشيخ محمد تقي الآملي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مؤسسة إسماعيليان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المأثور،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النجفية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العلّامة السيد محمد مهدي بحر العلوم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مكتبة 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 عن النجف، مطبعة النعمان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اصول الشريعة، أبو القاسم عليّ بن الحسين الموسوي المعروف بالشريف المرتضى و علم الهدى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أبو القاسم گرجي، الطبعة الاولى، مجلدان، طهران، جامعة طهران،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تقي الدين الحسن بن عليّ 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محمد صادق آل بحر العلوم، قم، منشورات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بالأُوفست عن طبعة النجف الأشرف، المطبعة الحيدرية،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السيد بحر العلوم الفوائد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النجف الأشرف، المطبعة الحيدرية،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العلّامة خلاصة الأقوال في معرفة الرجال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حسن المصطفوي، الطبعة الاولى، مشهد المقدسة،</w:t>
      </w:r>
    </w:p>
    <w:p>
      <w:pPr>
        <w:pStyle w:val="BookText"/>
        <w:rPr/>
      </w:pPr>
      <w:r>
        <w:rPr>
          <w:rFonts w:ascii="Amiri" w:hAnsi="Amiri" w:eastAsia="Amiri" w:cs="Amiri"/>
          <w:color w:val="111111"/>
          <w:sz w:val="28"/>
          <w:sz w:val="28"/>
          <w:szCs w:val="28"/>
          <w:rtl w:val="true"/>
          <w:lang w:bidi="ar-SA"/>
        </w:rPr>
        <w:t xml:space="preserve">جامعة مشهد،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أبو العباس أحمد بن عليّ بن أحمد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موسى الشبيري الزنجاني، الطبعة الاولى، قم، 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الشيخ الرئيس أبو عليّ حسين بن عبد 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مكتبة البيدار،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للشيخ الأعظم الأنصاري فرائد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الفشاركيّة، السيد محمد الطباطبائي الفشاركي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و حياض الفضلاء، الميرزا عبد اللَّه الأفندي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أحمد الحسيني، الطبعة الاولى،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مكتبة آية اللَّه المرعشي،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في تراجم المعروفين بالكنية أو اللقب، الميرزا محمد عليّ المدرّس 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تبريز، مكتبة خيّام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الحاوي لتحرير الفتاوي، أبو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الشيخ عباس بن محمد رضا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مجلّدان، طهران، مكتبة سنائي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أبو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محيى الدين عبد الحميد،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دار إحياء السنة النبوية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أبو عبد اللَّه محمد بن يزيد بن ماجة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p>
    <w:p>
      <w:pPr>
        <w:pStyle w:val="BookText"/>
        <w:rPr/>
      </w:pPr>
      <w:r>
        <w:rPr>
          <w:rFonts w:ascii="Amiri" w:hAnsi="Amiri" w:eastAsia="Amiri" w:cs="Amiri"/>
          <w:color w:val="111111"/>
          <w:sz w:val="28"/>
          <w:sz w:val="28"/>
          <w:szCs w:val="28"/>
          <w:rtl w:val="true"/>
          <w:lang w:bidi="ar-SA"/>
        </w:rPr>
        <w:t>فؤاد عبد الباقي، مجلدان،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أبو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 عن طبعة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أبو محمد عبد اللَّه بن عبد الرحمن السمرقندي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بيروت، دار الفكر،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أبو عبد الرحمن أحمد بن شعيب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أبو عبد اللَّه 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عدة من الفضلاء، الطبعة السابعة،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بيروت، مؤسسة الرسالة،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الإشارات و التنبيهات، المحقق الطوسي محمد بن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مركز نشر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الشافية، الشيخ رضي الدين محمد بن الحسن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حوالي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نور الحسن و محمد الزفزاف و محمد محيى الدين عبد الحميد،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الكتب العلمية،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الشمسية، قطب الدين محمد بن محمد الرازي البويهي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الطبعة الحجرية،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المطالع، قطب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مكتبة الكتبي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المقاصد، مسعود بن عمر بن عبد اللَّه المعروف بسعد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الرحمن عميرة،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منشورات الرضي،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بالأُوفست عن طبعته السابقة، مصر،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المنظومة، 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p>
    <w:p>
      <w:pPr>
        <w:pStyle w:val="BookText"/>
        <w:rPr/>
      </w:pPr>
      <w:r>
        <w:rPr>
          <w:rFonts w:ascii="Amiri" w:hAnsi="Amiri" w:eastAsia="Amiri" w:cs="Amiri"/>
          <w:color w:val="111111"/>
          <w:sz w:val="28"/>
          <w:sz w:val="28"/>
          <w:szCs w:val="28"/>
          <w:rtl w:val="true"/>
          <w:lang w:bidi="ar-SA"/>
        </w:rPr>
        <w:t xml:space="preserve">السادسة، قم، مكتبة العلّامة،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المواقف، السيد الشريف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محمد بدر الدين النعساني، الطبعة الاولى،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منشورات الرضي،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بالأُوفست عن طبعة مصر،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عز الدين عبد الحميد بن محمد 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إسماعيليان،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بالأُوفست عن طبعته الاولى، القاهرة، دار إحياء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الشيخ الرئيس أبو عليّ حسين بن عبد 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مكتبة آية اللَّه المرعشي،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شوارق الإلهام في شرح تجريد الكلام، المولى عبد الرزاق بن علي بن الحسين اللاهيجي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أصفهان، نشر مهدوي، الطبعة الحجرية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الشواهد الربوبية في المناهج السلوكية، محمد بن إبراهيم صدر الدين الشيرازي المعروف بصدر 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تعليق و تصحيح السيد جمال الدين آشتياني، الطبعة الثانية، مركز نشر دانشگاهى،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عبد الغفور عطّار، الطبعة الثانية،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العلم للملايين،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 عن طبعته الاولى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أبو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فؤاد عبد الباقي، الطبعة الثانية،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الفكر،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 عن طبعته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الشيعة، الشيخ محمد محسن آغا بزرگ الطهراني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مكتبة آية اللَّه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طرائف المقال في معرفة طبقات الرجال، السيد عليّ أصغر ابن السيد محمد شفيع الجابلقي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مهدي الرجائي، الطبعة الاولى، مجلّدان، قم، مكتبة آية اللَّه المرعشي،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إيران، المكتبة العلمية الإسلامية،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الاصول، 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النجف الأشرف، المكتبة الحيدرية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اللآلي العزيزية في الأحاديث الدينية، 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أوائل القرن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مجتبى العراقي،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مطبعة سيد الشهداء،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أو الاستنفار و الغارات، أبو إسحاق إبراهيم بن محمد بن سعيد المعروف بابن هلال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عبد الزهراء الحسيني الخطيب، الطبعة الاولى، بيروت، دار الأضواء،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الكتاب و السنة و الأدب، العلّامة الشيخ عبد الحسين أحمد الأميني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طهران و بيروت، دار الكتب الإسلامية و دار الكتب العربي،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النزوع إلى علمي الاصول و الفروع، أبو المكارم السيد حمزة بن عليّ بن زهرة الحسيني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مكتبة آية</w:t>
      </w:r>
    </w:p>
    <w:p>
      <w:pPr>
        <w:pStyle w:val="BookText"/>
        <w:rPr/>
      </w:pPr>
      <w:r>
        <w:rPr>
          <w:rFonts w:ascii="Amiri" w:hAnsi="Amiri" w:eastAsia="Amiri" w:cs="Amiri"/>
          <w:color w:val="111111"/>
          <w:sz w:val="28"/>
          <w:sz w:val="28"/>
          <w:szCs w:val="28"/>
          <w:rtl w:val="true"/>
          <w:lang w:bidi="ar-SA"/>
        </w:rPr>
        <w:t xml:space="preserve">اللَّه المرعشي،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 عن طبعته الحجرية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العزيز في شرح الوجيز، أبو القاسم عبد الكريم بن محمد بن عبد الكريم الرافعي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شرح 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بيروت،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الشيخ الأعظم مرتضى بن محمد أمين 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خمس رسائل في مجلّد واحد، الطبعة الحجرية، تبريز،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الغروية في الاصول الفقهية، الشيخ محمد حسين بن عبد الرحيم الطهراني الأصفهاني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إحياء العلوم الإسلامية،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 عن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المنسوب للإمام الرضا عليه السلام، تحقيق مؤسسة آل البيت عليهم السلام لإحياء التراث، الطبعة الاولى، مشهد المقدسة، المؤتمر العالمي للإمام الرضا عليه السلام،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الاصول، الشيخ محمد عليّ الكاظمي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تقريرات بحث الميرزا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الاصولية، العلّامة السيد محمد بحر العلوم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طهران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السيد محمد المهدي بحر العلوم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صادق بحر العلوم و حسين بحر العلوم،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مكتبة الصادق،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 عن طبعة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الرضوية في أحوال علماء المذهب الجعفرية، الشيخ عباس بن محمد رضا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طهران،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السيد محمد صادق بحر العلوم، قم، منشورات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أبو الفرج محمد بن إسحاق المعروف بابن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رضا تجدد،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الشيخ محمد تقي التستري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طهران، مركز نشر الكتاب،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أبو العباس عبد اللَّه بن جعفر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لإحياء التراث، الطبعة الاولى، قم، مؤسسة آل البيت عليهم السلام لإحياء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و الفوائد، الشهيد الأوّل محمد بن مكي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الهادي الحكيم، الطبعة الثانية، مجلّدان، قم، مكتبة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بالأُوفست عن طبعة النجف الأشرف، مطبعة الآداب،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الاصول، المحقق ميرزا أبو القاسم القمي بن المولى محمد حسين الجيلاني المعروف بالميرزا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طهران، المكتبة العلمية الإسلامية،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أبو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الطبعة الثالثة،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الإمام الخميني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قم، مؤسسة إسماعيليان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الخلل في الصلاة، الإمام الخميني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مطبعة 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الحاج آقا رضا ابن الآقا محمد هادي المعروف بالفقيه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مكتبة الصدر،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الشيخ الأعظم مرتضى بن محمد أمين 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 لا يحضره الفقيه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عن خفيّات مبهمات الشريعة الغرّاء، الشيخ جعفر بن خضر، المعروف بكاشف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أصفهان، منشورات المهدوي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في شرح تجريد الاعتقاد، العلّامة الحلي جمال الدين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حسن حسن‌زاده الآملي، الطبعة الاولى، قم، 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الاصول، 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مؤسسة النشر الإسلامي، الطبعة الاولى، قم، مؤسسة النشر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 الألقاب، الشيخ عباس بن محمد رضا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النجف الأشرف، المطبعة الحيدرية،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اللآلي المصنوعة في الأحاديث الموضوعة، جلال الدين عبد الرحمن بن أبو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مجلّدان، بيروت،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أبو الفضل جمال الدين محمد بن مكرم بن منظور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بيروت،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 عن طبعة البولاق بمصر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في الإجازة لقرّتي العين، الشيخ يوسف بن أحمد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صادق بحر العلوم، الطبعة الثانية، قم، مؤسسة آل 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 عن طبعته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مبسوط السرخسي، شمس الدين السرخسي الحنفي محمد بن أحمد بن أبي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بيروت، دار المعرفة،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بالأُوفست عن طبعته السابقة،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و مطلع النيّرين، فخر الدين بن محمد عليّ بن أحمد بن طريح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المكتبة المرتضوية،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تفسير مجمع 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الرجال، زكي الدين المولى عناية اللَّه عليّ القهپائي، علّق عليه السيد ضياء الدين، قم، مؤسسة إسماعيليان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شرح المهذّب، أبو زكريا يحيى بن شرف النووي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بيروت،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جلال الدين الحسيني المشتهر بالمحدّث الأرموي، الطبعة الثانية، قم،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في أحكام الشريعة، العلّامة الحلّي جمال الدين حسن بن يوسف ابن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مكتبة نينوى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بالأُوفست عن طبعته الحجرية،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في شرح أخبار آل الرسول، 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هاشم الرسولي و محسن الحسيني الأميني، الطبعة الاولى،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طهران، دار الكتب الإسلامية،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 مستنبط المسائل، الحاج الميرزا حسين المحدّث النوري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الاولى،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آل البيت عليهم السلام لإحياء التراث،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أبو عبد اللَّه محمد بن منصور بن أحمد بن إدريس العجلي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مدرسة الإمام المهدي عليه السلام، الطبعة الاولى، قم، مدرسة الإمام الهادي عليه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الوثقى، السيد محسن الطباطبائي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قم، مؤسسة إسماعيليان،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الشيعة في أحكام الشريعة، المولى أحمد بن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قم،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 عن طبعة النجف الأشرف، مطبعة الآداب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مصر، المطبعة الميمنية،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 الأنظار، العلّامة أبو القاسم كلانتري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 عن طبعته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المطول في شرح تلخيص 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مسعود بن عمر بن عبد اللَّه المعروف بسعد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المكتبة العلمية الإسلامية،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الاصول، المحقق الحلّي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محمد حسين الرضوي، الطبعة الاولى، قم، مؤسسة آل البيت عليهم السلام لإحياء التراث،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في تراجم العلماء و الادباء، الشيخ محمد حرز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علّق عليه محمد حسين حرز الدين،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مكتبة آية اللَّه المرعشي،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و ملاذ المجتهدين، أبو منصور جمال الدين الحسن بن زين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الرضي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أبو جعفر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إعداد السيد محمد صادق بحر العلوم، النجف الأشرف، المطبعة الحيدرية،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شرح المختصر، المحقق الحلّي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قم، مؤسسة سيد الشهداء عليه السلام،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و تفصيل طبقات الرواة، السيد أبو القاسم ابن السيد عليّ أكبر الموسوي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بيروت، دار الزهراء للطباعة و النشر،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أبو محمد عبد اللَّه بن أحمد بن محمد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بيروت، دار الكتاب العربي</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السيد محمد جواد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حوالي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آل 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 عن طبعته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مقابس الأنوار و نفائس الأسرار في أحكام النبي المختار و عترته الأطهار عليهم السلام، الشيخ أسد اللَّه بن إسماعيل التستري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 عن طبعته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و قم، المكتبة الإسلامية و مؤسسة المطبوعات الدينية،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الشيخ مرتضى بن محمد أمين 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تبريز،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أبو جعفر رشيد الدين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محمد حسين دانش الآشتياني و السيد هاشم الرسولي المحلاتي،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قم مكتبة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الأحكام و الاصول، المولى أحمد بن المولى مهدي بن أبي ذر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الوصول إلى علم الاصول، الإمام الخميني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تنظيم و نشر آثار الإمام الخميني قدس سره،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في تحقيق المذهب، العلّامة الحلّي جمال الدين حسن بن يوسف ابن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مجلّدان، ايران،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موسى بن محمد النجفي الخوانساري، تقريرات أبحاث استاذه آية اللَّه الشيخ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مجلّدان، طهران و النجف الأشرف، المكتبة الحيدرية، و المكتبة الرضوية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السيد مصطفى بن حسين الحسيني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في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الحجرية، طهران،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 الأثر، 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 عن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الشيخ محمد تقي بن عبد الكريم البروجردي النجفي، تقريرات بحث استاذه آية اللَّه آغا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الدراية في شرح الكفاية، 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الطبعة الاولى، قم، مؤسسة آل البيت عليهم السلام لإحياء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الاولى، طهران و قم، المكتبة الإسلامية و مؤسسة</w:t>
      </w:r>
    </w:p>
    <w:p>
      <w:pPr>
        <w:pStyle w:val="BookText"/>
        <w:rPr/>
      </w:pPr>
      <w:r>
        <w:rPr>
          <w:rFonts w:ascii="Amiri" w:hAnsi="Amiri" w:eastAsia="Amiri" w:cs="Amiri"/>
          <w:color w:val="111111"/>
          <w:sz w:val="28"/>
          <w:sz w:val="28"/>
          <w:szCs w:val="28"/>
          <w:rtl w:val="true"/>
          <w:lang w:bidi="ar-SA"/>
        </w:rPr>
        <w:t xml:space="preserve">المطبوعات الدينية،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في شرح معالم الدين، الشيخ محمد تقي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 عن طبعته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الأحباب في ذكر المعروفين بالكنى و الألقاب و الأنساب، الشيخ عباس بن محمد رضا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أمير كبير،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محمد بن المرتضى المولى محسن المعروف بالفيض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طهران، المكتبة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صلاح الدّين خليل بن أيبك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الوافية، الفاضل عبد اللَّه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مجمع الفكر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وسائل الشيعة إلى تحصيل مسائل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محمد ابن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طهران، المكتبة الإسلامية،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565" w:name="pg2245_13195"/>
    </w:p>
    <w:p>
      <w:pPr>
        <w:pStyle w:val="Heading3"/>
        <w:numPr>
          <w:ilvl w:val="2"/>
          <w:numId w:val="1"/>
        </w:numPr>
        <w:rPr/>
      </w:pPr>
      <w:bookmarkStart w:id="566" w:name="__RefHeading___Toc1614289_3804643083"/>
      <w:bookmarkStart w:id="567" w:name="_Toc205"/>
      <w:bookmarkEnd w:id="565"/>
      <w:bookmarkEnd w:id="566"/>
      <w:r>
        <w:rPr/>
        <w:t>7</w:t>
      </w:r>
      <w:r>
        <w:rPr>
          <w:rtl w:val="true"/>
        </w:rPr>
        <w:t xml:space="preserve">- </w:t>
      </w:r>
      <w:r>
        <w:rPr>
          <w:rtl w:val="true"/>
        </w:rPr>
        <w:t>فهرس الموضوعات</w:t>
      </w:r>
      <w:bookmarkEnd w:id="567"/>
    </w:p>
    <w:p>
      <w:pPr>
        <w:pStyle w:val="BookText"/>
        <w:rPr/>
      </w:pPr>
      <w:r>
        <w:rPr>
          <w:rFonts w:ascii="Amiri" w:hAnsi="Amiri" w:eastAsia="Amiri" w:cs="Amiri"/>
          <w:color w:val="111111"/>
          <w:sz w:val="28"/>
          <w:sz w:val="28"/>
          <w:szCs w:val="28"/>
          <w:rtl w:val="true"/>
          <w:lang w:bidi="ar-SA"/>
        </w:rPr>
        <w:t>مقدمة التحقيق</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الاستصحاب</w:t>
      </w:r>
    </w:p>
    <w:p>
      <w:pPr>
        <w:pStyle w:val="BookText"/>
        <w:rPr/>
      </w:pPr>
      <w:r>
        <w:rPr>
          <w:rFonts w:ascii="Amiri" w:hAnsi="Amiri" w:eastAsia="Amiri" w:cs="Amiri"/>
          <w:color w:val="111111"/>
          <w:sz w:val="28"/>
          <w:sz w:val="28"/>
          <w:szCs w:val="28"/>
          <w:rtl w:val="true"/>
          <w:lang w:bidi="ar-SA"/>
        </w:rPr>
        <w:t>ينبغي التنبيه على أمرين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الاحتمالات التي في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ليس من الأدلّة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تنبيه في ضابط المسألة الاصولية و أنَّ الاستصحاب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جريان الاستصحاب في الأحكام العقلية</w:t>
      </w:r>
    </w:p>
    <w:p>
      <w:pPr>
        <w:pStyle w:val="BookText"/>
        <w:rPr/>
      </w:pPr>
      <w:r>
        <w:rPr>
          <w:rFonts w:ascii="Amiri" w:hAnsi="Amiri" w:eastAsia="Amiri" w:cs="Amiri"/>
          <w:color w:val="111111"/>
          <w:sz w:val="28"/>
          <w:sz w:val="28"/>
          <w:szCs w:val="28"/>
          <w:rtl w:val="true"/>
          <w:lang w:bidi="ar-SA"/>
        </w:rPr>
        <w:t xml:space="preserve">الإشكالات الواردة على الشيخ الأنصاري و جوابها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تحقيق الحال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التفصيل بين الشكّ في الرافع و المقتضي</w:t>
      </w:r>
    </w:p>
    <w:p>
      <w:pPr>
        <w:pStyle w:val="BookText"/>
        <w:rPr/>
      </w:pPr>
      <w:r>
        <w:rPr>
          <w:rFonts w:ascii="Amiri" w:hAnsi="Amiri" w:eastAsia="Amiri" w:cs="Amiri"/>
          <w:color w:val="111111"/>
          <w:sz w:val="28"/>
          <w:sz w:val="28"/>
          <w:szCs w:val="28"/>
          <w:rtl w:val="true"/>
          <w:lang w:bidi="ar-SA"/>
        </w:rPr>
        <w:t xml:space="preserve">ذكر أخبار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تقريبات الأعلام في اختصاص حجية الاستصحاب بالشكّ في الرافع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تحقيق الحقّ في الشكّ في الرافع و المقتضي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بيان جواب تقريب المولى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تقريب آخر لشمول الأدلة للشكّ في المقتضي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تأييد اختصاصه بالشكّ في الرافع و 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مورد الاستدلال بالرواية و احتمالاته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الإشكال على أقوى الاحتمالات و 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إشكال آخر على الاحتمال المتصوّر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دفع الإشكال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ثالثة لزرارة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بيان احتمالات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بيان أظهر الاحتمالات في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إسحاق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عليّ بن محمد القاساني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الاستدلال بأدلّة الحلّية و الطهارة على الاستصحاب و 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الوضعية و تحقيق ماهيتها</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الحكم إلى تكليفي و وضعي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موارد الخلط بين التكوين و التشريع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توهّم عدم قبول السببية للجعل و دفعه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الملكية ليست من المقولات 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أقسام الوضعيّات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فعلية اليقين و الشكّ في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إشكال جريان الاستصحاب في مؤدّيات الأمارات و 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استصحاب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القسم الأوّل من استصحاب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القسم الثاني من استصحاب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الجواب عن الشبهة العبائية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القسم الثالث من استصحاب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أصالة عدم التذكية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حكم الشبهات الحكمية من جهة الشكّ في القابليّة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تحقيق القضايا السالبة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بيان مناط الصدق و الكذب في القضايا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حال أصالة عدم التذكية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كلام المولى الهمداني و 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حكم الشبهات الموضوعية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المتصرّمات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تحقيق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استصحاب الزمانيّات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شبهة النراقي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جواب الشيخ عن الشبهة و ما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جواب المحقق الخراساني و 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جواب المحقق النائيني و الإشكال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جواب شيخنا العلّامة و ما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التحقيق في الجواب عن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التعليقي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كلام بعض الأعاظم و ما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معارضة الاستصحاب التعليقي مع التنجيزي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حكومة الاستصحاب التعليقي على التنجيزي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أحكام سائر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المثبتة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حال مثبتات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بيان الفرق بين الآثار الشرعية 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الوسائط الخفية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حال الأمثلة التي ذكرها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امور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العنوان المنطبق على الخارج ليس بمثبت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الأحكام الوضعية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الأصل بلحاظ الأثر العدمي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الحكم الأعم من الواقعي و الظاهري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مجهولي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ضابط اتصال زمان الشكّ باليقين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إشكال المحقق الخراساني في مجهولي التاريخ و 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تقرير إشكال شيخنا العلّامة في المجهولي التاريخ و 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فروض ترتّب الأثر على وجود الحادثين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تحقيق الحال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فيما إذا كان أحدهما معلوم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حول كلام بعض العلماء و ما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التمسك بالعموم، و استصحاب حكم المخصّص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تقرير التفصيل بين الخروج من الأوّل و الأثناء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الشكّ في الأدلّة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يعتبر في جريان الاستصحاب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القضية المتيقنة و المشكوك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الإشكال على الشيخ الأعظم في مسألة بقاء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تمسك الشيخ الأعظم بالدليل العقلي لمدّعاه و ما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توجيه شيخنا العلّامة كلام الشيخ و ما يرد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إنَّ الاستصحاب لا يجدي في إحراز موضوع القضية المستصحبة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الخلط الواقع في كلام بعض الأعاظم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هل يؤخذ الموضوع من العرف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المراد من العرف ليس العرف المسامح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الباب هل تختصّ بالاستصحاب أو تعم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إشكال الشيخ الأعظم على إمكان الجمع بين القاعدتين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تقرير بعض الأجلة كلام الشيخ و إقامة البرهان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الجواب عنهما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كلام العلّامة الحائري قدس سره و 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الأمارات على الاستصحاب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بيان ضابط 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حال أدلّة الاستصحاب مع سائر الأدلّة و الأدلّة بعضها مع بعض</w:t>
      </w:r>
    </w:p>
    <w:p>
      <w:pPr>
        <w:pStyle w:val="BookText"/>
        <w:rPr/>
      </w:pPr>
      <w:r>
        <w:rPr>
          <w:rFonts w:ascii="Amiri" w:hAnsi="Amiri" w:eastAsia="Amiri" w:cs="Amiri"/>
          <w:color w:val="111111"/>
          <w:sz w:val="28"/>
          <w:sz w:val="28"/>
          <w:szCs w:val="28"/>
          <w:rtl w:val="true"/>
          <w:lang w:bidi="ar-SA"/>
        </w:rPr>
        <w:t>يقع الكلام فيها في مقامات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أدلة الاستصحاب مع أدلّة الأمارات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تقدّم الأمارات على أدلّة البراءة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تقدّم أدلّة الاستصحاب على أدلّة الحل و البراءة الشرعيتين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الاستصحابين</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الشكّ مسبّباً عن الشكّ في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نقل كلام الشيخ الأعظم و 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الإشكال على ما قالوا في وجه طهارة الملاقي لبعض أطراف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الشكّ فيهما ناشئاً عن أمرٍ 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عدم جواز ترجيح ذي المزية بشي‌ء من المرجحات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بيان وجه تساقطهما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حول وجهي التخيير و الجواب عنهما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حال الاستصحاب مع سائر القواعد</w:t>
      </w:r>
    </w:p>
    <w:p>
      <w:pPr>
        <w:pStyle w:val="BookText"/>
        <w:rPr/>
      </w:pPr>
      <w:r>
        <w:rPr>
          <w:rFonts w:ascii="Amiri" w:hAnsi="Amiri" w:eastAsia="Amiri" w:cs="Amiri"/>
          <w:color w:val="111111"/>
          <w:sz w:val="28"/>
          <w:sz w:val="28"/>
          <w:szCs w:val="28"/>
          <w:rtl w:val="true"/>
          <w:lang w:bidi="ar-SA"/>
        </w:rPr>
        <w:t>يقع الكلام فيها في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لها جهات من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ماهية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طوائف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فمن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يونس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صحيحتا محمد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صحيحة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صحيحة جميل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و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العيص بن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مكاتبة ابن أبي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عثمان بن عيسى و حماد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و من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الحفص بن غياث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رواية مسعدة بن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اليد على المنفعة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اليد معتبرة مع عدم علم ذي اليد و اعترافه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اليدين على شي‌ء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حول كلام المحقق السيد الطباطبائي قدس سره و ما يرد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إقامة الدعوى على ذي اليد و فروعها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في أمر 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فروع العلم بسابقة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ما في اليد وقفاً سابقاً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الاستصحاب مع قاعدة التجاوز و الفراغ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يتم ذلك في ضمن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الأخبار التي تستفاد منها القاعدة الكلية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محمد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أبي يعفور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بكير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و الفضيل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الشك في الشي‌ء هو الشكّ في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الروايات قاعدة واحدة و هي التجاوز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المحل هو المحلّ الشرعي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الدخول في الغير معتبر في القاعدة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المضي على نحو الرخصة أو العزيمة؟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من الأمارات أو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أنَّ القاعدة أصل محرز حيثي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أنحاء الشكوك العارضة للمكلّف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كلام بعض المحققين و ما يريد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حال الشكّ في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حال الشكّ في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القاعدة بالشكّ الحادث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تقدّمها على الاستصحاب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الاستصحاب مع أصالة الصحة في فعل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بسط الكلام في ضمن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أصالة الصحّة و دليل اعتبارها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الصحّة هي الواقعية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اقسام الشكّ في العمل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القاعدة بما إذا شكّ في تحقق الشي‌ء صحيحاً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جريان أصالة الصحّة بعد إحراز نفس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مثبتات أصالة الصحّة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تقدّم أصالة الصحّة على الاستصحاب و وجهه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الاستصحاب مع قاعدة القرعة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يتمّ ذلك في ضمن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نبذة من الأخبار الواردة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التخصيص المستهجن لعمومات القرعة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القرعة أمارة على الواقع أم لا؟</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للأدلة العامة للقرعة إطلاق من جميع الجهات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الأنبياء و الأئمّة المعصومين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بأصول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القوانين المحكمة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مناهج الأحكام و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حاشية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السيد البروجردي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قد اختاره المحقّق الهمداني في حاشيته على الرسائل، و حكاه عن البعض أيضاً العلّامة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مرتضى ابن الشيخ محمّد أمين بن شمس الدين بن أحمد بن نور الدين بن محمّد صادق الأنصاري، الإمام الفقيه المؤسس شيخ مشايخ الإمامية، و أحد جهابذة العلماء و أثبات المُحقّقين، من ذرّيّة الصحابي الجليل جابر بن عبد اللَّه الأنصاري السلمي الخزرجي، ولد في الثامن عشر من ذي الحجّة عام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مدينة دزفول، تفقّه على عمّه الفقيه الكبير الشيخ حسين الأنصاري، ثمّ على الفقيه السيّد محمّد نجل السيّد علي الطباطبائي، و الفقيه المُتبحّر شريف العلماء المازندراني، و المحقق المولى أحمد النراقي و آخرين، و تخرَّج من معهد درسه جماعة من أعاظم العلماء،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ميرزا محمّد حسن الحسيني الشيرازي، و الشيخ ميرزا حبيب اللَّه الرشتي، و الفقيه الشيخ جعفر التستري، و الفقيه الكبير السيّد حسين الكوهكمري التبريزي، و المحقق الشيخ محمّد كاظم الخراساني و غيرهم، توفّي ليلة الثامن عشر من جمادى الثانية عام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في النجف الأشرف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ما قبل الأخير، و انظر هداية الأبرار للكركي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الاستصحاب، 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على مختصر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بضميمة أنَّ من تمسّك بالأدلّة العقليّة على حجّية الاستصحاب يكون معدوداً عنده من الأدلّة العقلية، كما أفاده الشيخ الأعظم قدّس سرّه في رسائله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الحاكي هو الشيخ حسين العاملي صاحب العقد الطهماسبي على ما في 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له قدّس سرّه رأي آخر تجده في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حاشية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السيّد البروجردي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العقل لا يحيط بجميع وجوه الأشياء و جميع المناطات، فحينئذٍ يمكن الحكم بحسن موضوع مركّب من عدّة امور من باب القدر المتيقّن، و مع ذهاب بعض الأجزاء أو الحيثيّات يستصحب الحكم الشرعيّ المستنبط من العقليّ، كما أفاد المشايخ رحمهم اللَّه منه قدّس سرّه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أعاظم العصر المقصود منه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الفقيه الشيخ محمّد حسين ابن الشيخ عبد الرحيم النائيني النجفي، ولد في سنة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بلدة نائين من نواحي مدينة يزد، قرأ على الشيخ محمّد باقر ابن الشيخ محمّد تقي الأصفهاني و الميرزا محمّد حسن النجفي، و الميرزا أبي المعالي، و السيد إسماعيل الصدر، و الإمام الشيخ محمّد حسن الشيرازي، و أمّا تلاميذه فكثيرون نذكر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المغفور له آية اللَّه العظمى السيد الخوئي، و الفقيه الكبير الشيخ موسى الخوانساري، و المحقق الفقيه الشيخ محمد علي الكاظمي الخراساني، و السيّد جمال الدين الگلپايگاني، و الفقيه الكبير الشيخ حسين الحلي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بالنجف الأشرف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ترك مؤلّفات جمّة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عنه في الاصول، و رسالة في نفي الضرر، و تنبيه الامّة، و رسالة في أحكام الخلل في الصلاة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تخريجه في 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الكبير و الفقيه الشهير الشيخ أبو جعفر محمّد بن الحسن بن علي بن الحسن الطوسي المعروف بشيخ الطائفة على الإطلاق، كان إماماً في التفسير و الاصول و الرجال و الحديث، من أعيان الأئمّة و أعلامها، الذي له المكانة السامية الراسية عند الامة، و المنزلة الكبرى في الرئاسة و السؤدد، صاحب التصانيف المفيدة الممتعة التي لا تزال في طليعة المراجع الإسلامية، و مناقبه كثيرة، و فضائله مشهورة، و بركاته معروفة، كان مولده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طوس، و تفقّه على عَلم الشيعة الشيخ محمّد بن محمّد بن النعمان المفيد، و عَلم الهدى الإمام السيد أبي القاسم علي بن الحسين المرتضى، و الشيخ أبي عبد اللَّه أحمد بن عبد الواحد البزّاز، و الشيخ أبي عبد اللَّه الحسين بن عبيد اللَّه بن الغضائري و خلائق، و تخرَّج به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آدم بن يونس النسفي، و الشيخ محمّد بن علي الكراجكي، و الشيخ محمّد بن أبي القاسم الطبري، و الشيخ الفقيه سعد الدين بن البراج، و الشيخ الفقيه سليمان بن الحسن الصهرشتي و آخرون، توفّي في الثاني و العشرين من المحرّم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10563</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بن سعيد بن مهران الأهوازي، من أصحاب الإمام الرضا و الإمام الجواد و الإمام الهادي عليهم السلام، كان جليل القدر، عظيم المنزلة، أوسع أهل زمانه علماً بالفقه و الآثار و المناقب و غير ذلك من علوم الشيعة، صاحب المصنّفات المعتمدة المعوّل عليها عند الطائفة، أصله كوفيّ و انتقل مع أخيه الحسن إلى الأهواز ثمَّ تحوَّل إلى قم و توفّي فيها، روى عن أبان بن عثمان، و إبراهيم بن أبي محمود، و الحسن بن علي الوشاء، و عبد اللَّه بن مسكان، و محمَّد بن إسماعيل بن بزيع و خلق، و عنه إبراهيم بن هاشم، و بكر بن صالح، و سعد بن عبد اللَّه، و علي بن مهزيار و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بن عيسى الجهني البصري، أصله من الكوفة و سكن البصرة، و كان ثقة في حديثه صدوقاً، و ممّن أجمعت العصابة على تصحيح ما يصح عنه، و أقرّوا له بالفقه، عدَّه الشيخ في أصحاب الإمامين الصادق و الكاظم عليهما السلام، مات غريقاً بوادي قناة بالمدينة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له نيف و تسعون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عبد اللَّه السجستاني أبو محمد الأزدي، من أهل الكوفة، عدَّه الشيخ في رجاله في أصحاب الإمام الصادق عليه السلام، روى عن إسحاق بن عمّار، و بريد بن معاوية، و بكير بن أعين، و سدير الصيرفي، و آخرين، و روى عنه أيوب بن نوح، و خلف بن حمّاد، و صفوان بن يحيى، و محمّد بن سنان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أعين الشيباني أبو الحسن، شيخ أصحابنا في زمانه و متقدّمهم، و كان قارئاً فقيهاً متكلّماً شاعراً أديباً، قد اجتمعت فيه خلال الفضل و الدين، صادقاً فيما يرويه، و ورد عن الإمام الصادق عليه السلام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زرارة لظننت أنَّ أحاديث أبي عليه السلام ستذهب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قول آخر 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أردت حديثاً فعليك بهذا الجالس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أومأ إلى زرارة، مات رضوان اللَّه تعالى عليه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دفعنا تلك الشبهة بما هو الموافق للتحقيق في باب تقدّم الأصل السببيّ على المسبّبي و بيّنا سرّ تقدّمه فراجع 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سيأتي بيان ذلك في 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ما يأتي في باب الاستصحاب في باب الأصل السببي و المسبّبي 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في 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نهاية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الإمام قدّس سرّه من الاحتمال المتقدّم هو الاحتمال الأوّل لا الثاني فتأمل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منه هنا هو الفقيه الكبير إمام عصره الشيخ آغا رضا ابن العالم الفقيه الشيخ محمّد هادي الهمداني النجفي، المولود في حدود سنة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كان على جانب عظيم من طهارة القلب و سلامة الذات و البعد عن زخارف الدنيا، ذا اطّلاع واسع في الفقه و اصوله و خبرة و تضلّع فيهما، تلمّذ على الإمام المجدّد السيد محمّد حسن الشيرازي، و الإمام الشيخ محمّد تقي الشيرازي، و العلّامة الفقيه الميرزا حسن ابن ميرزا خليل الطهراني، تخرّج به جماعة كثيرون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و الأخوان الشيخ أحمد و الشيخ محمّد حسين آل كاشف الغطاء، و الشيخ عبد الحسين أسد اللَّه التستري، و السيد حسن الصدر، و الشيخ آغا بزرگ الطهراني، توفّي بسامراء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 المحقّق الهمداني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 المحقق الهمداني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الصحيحة كاملة في 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 الإمام الرضا عليه السلام على ما في الفقه المنسوب إليه في 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سهو بعد الخروج من الصلاة فليس بشي‌ء، و لا إعادة فيه، لأنّك قد خرجت على يقين، و الشك لا ينقض اليقين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رئيس المحدّثين الشيخ أبو جعفر محمّد ابن الشيخ علي بن الحسين بن موسى بن بابويه القمّي، المعروف بالصدوق، المولود بدعاء صاحب العصر الإمام المنتظر عجّل اللَّه فرجه، تطلّع إليه أهل العلم و هو في مُقتبل العمر، فاقتبسوا منه معارفه و علومه و آدابه، فكان مثار إعجاب الجميع، طاف كثيراً من البلدان، فسمع ما لا يحصى كثرة من الكتب و الاصول، و لقي كثيراً من أعلام الشيوخ، و تحمّل عنهم الحديث في مختلف الفنون، و لم ينقطع طيلة حياته عن الدراسة و السماع و التأليف، و من أشهر تلاميذه و الآخذين عنه الإمام الشيخ محمّد بن محمّد بن النعمان المفيد، و الشيخ الكبير الثقة علي بن محمّد الخزّاز، و الشيخ الفاضل الفقيه الحسين بن عبيد اللَّه الغضائري، و الشيخ هارون بن موسى التلعكبري و خلائق، و أمّا آثاره العلمية فكثيرة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و الأمالي، و التوحيد، و علل الشرائع، و إكمال الدين، و الخصال و غيرها، توفّي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بلدة الري و قبره لا يزال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هذا الإشكال الشيخ الأنصاري عن السيد صدر الدين شارح الوافية، لاحظ كتاب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السيد صدر الدين الصدر في شرح الوافية على ما نقله عنه الشيخ الأنصاري في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 هي الآمرة بغسل البدن و الثياب من النجاسات لأجل الصلاة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القهقهة فهي تقطع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و كتاب الخلل في الصلاة للإمام قدّس سرّه 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لبيان كيفية الاستدلال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للمحقق الهمداني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ما قبل الأخير 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الفقيه الإمام أبو عبد اللَّه محمَّد بن إدريس بن العباس بن عثمان بن شافع المطلبي الشافعي المكي الغزي، ولد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تلقى الفقه و الحديث على شيوخ مكة و المدينة و اليمن و بغداد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خالد المخزومي المكي، و سعيد بن سالم القداح، و إبراهيم بن محمّد المدني، و سفيان بن عيينة، و محمّد بن الحسن الشيباني، و عبد الوهاب ابن عبد المجيد بن الصلت البصري و آخرون، و ممن تتلمذ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يعقوب البويطي، و إسماعيل بن يحيى المزني، و الربيع بن سليمان المرادي، و خالد اليماني الكلبي، و الحسن بن علي الكرابيسي و غيرهم، توفي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عمرو عبد الرحمن بن عمرو بن يُحمد كيُكرم، إمام أهل الشام و فقيههم و عالمهم، ولد ببعلبك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سكن بظاهر الفراديس بمحلة الأوزاع، ثمَّ تحول إلى بيروت، روى عن الإمام محمّد بن علي الباقر عليه السلام، و قتادة، و الزهري، و مكحول، و عطاء بن أبي رباح، و محمّد بن سيرين و خلق، و كانت وفاته في صفر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بالوفيات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انظر المغني لابن قدامة مع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 فيما زاد على الركعتين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ما قبل الأخير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حيّان مولى بني تغلب أبو يعقوب الصيرفي الساباطي الكوفي، شيخ من أصحابنا، ثقة، و هو من بيت كبير من الشيعة، و له اصل مُعتمد عليه، عدّه الشيخ في رجاله في أصحاب الإمامين الصادق و الكاظم عليهما السلام، روى عن جابر بن عبد اللَّه، و سعيد الأعرج، و عبد الأعلى مولى آل سام، و عبيد بن زرارة، و القاسم بن سالم، و عبد الرحمن بن الحجاج، و المعلّى بن خنيس و طائفة، و روى عنه أبان بن عثمان، و منصور بن يونس، و سليمان بن محمّد الخثعمي، و حمّاد بن عثمان، و يونس بن عبد الرحمن و 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رياح أبو جعفر الأوقص الطحّان الثقفي الطائفي، وجه أصحابنا بالكوفة، فقيه، ورع، و من أوثق الناس، و من حواري الإمام الباقر و الإمام الصادق عليهما السلام، 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القاساني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من ولد زياد مولى عبد اللَّه بن العباس، من آل خالد بن الأزهر، كان فقيهاً مكثراً من الحديث، فاضلًا، من أصحاب الإمام الهادي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ذكره الشيخ الأنصاري في مجلس بحثه على ما في 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الاستصحاب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تقييد عدم جواز الصوم في الأخير بعنوان أنَّه من شهر رمضان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 الأواني، و في بعضها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نظر الإمام قدّس سرّه إلى الموثّقة كما يظهر من نقله لكلام الآخوند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و فيها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باختلاف يسير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الغدير للعلّامة الأميني رحمه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تفسير أبي الفتوح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منظومة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الأسفار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الصفحة السابقة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ذكرها في صفحة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في 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حيث أفاد قدّس سره بأن الجمع بين إرادة الطهارة الواقعية و الظاهرية مُستحيل؛ للأدلة المذكورة فراجع، و يأتي تفصيل البحث في صفحة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الآخوندي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هامش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ابن سينا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الإلهيات، 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درر الفوائد للآملي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تهذيب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الجوهر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قد ذكره الشيخ بعنوان التوهّم و أجاب عنه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بنى عليه السيد اليزدي في حاشيته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للمحقّق السيد إسماعيل الصدر رحمه اللَّه كما في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ما ذكرنا ما قاله المحقّقون في كتاب 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لو قال عندي ثوب لفلان و مات، و لم يكن في تركته إلّا ثوب واحد، و شك الورثة في بقاء الوديعة عنده، لا يحكم بكون الثوب وديعة؛ فإنَّ استصحاب بقاء الوديعة لا يثبت كون الثوب وديعة منه قدّس سرّه انظر مفتاح الكرامة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حاشية المحقق الأصفهاني على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سينا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منظومة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الحكمة، و انظر 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المؤلّف قدّس سرّه، و الظاهر أنَّ ما نقله الإمام قدّس سرّه هنا من استاذه إنّما تلقّاه منه شفاهاً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مباحث أوضاع الحروف و في العام و الخاص، هذا و قد عدل الإمام قدّس سرّه عمّا كان قد اختاره في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الجوهر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شرح المقاصد للتفتازاني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الحكمة،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المتقدّمة، و انظر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شرح الشمسية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لذلك في مباحث الألفاظ، و في 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أيضاً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السلب التحصيلي الأعم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وجهه في باب الاصول المثبتة منه قدّس سرّه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حاشية المحقق الهمداني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حاشية المحقق الهمداني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نظيره في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المحقّق الحائري كما تقدّم، و المحقّق العراقي على ما في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بعدهما، و انظر 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الحكمة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الطبيعيات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الأخير، 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نهاية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 انظر 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يشترط في جريان الاستصحاب وحدة القضية المتيقنة و المشكوك فيها فإذا كان التعليق راجعاً للموضوع لم يكن في البين يقين سابق بثبوت الموضوع المعلّق و بالتالي لا يقين بنفس القضية، فإذا صلّى المكلّف في ثوب يشكّ في أنَّه ممّا لا يؤكل لحمه لم يمكنه إجراء الاستصحاب؛ لعدم الجزم بتحقّق الصلاة سابقاً فيما لا يؤكل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الأحكام و الاصول للمحقّق النراقي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الاولى 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المولى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الشيخ المولى أحمد ابن العلّامة الشيخ محمّد مهدي بن أبي ذر النراقي، أحد أقطاب العلم و جهابذة المحققين، و كفاه فخراً أنَّه أحد أساتذة الفقيه الأعظم الإمام المرتضى الأنصاري، ولد سنة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نراق من قرى مدينة كاشان، و أخذ أوّليات العلوم فيها، ثمَّ هاجر إلى العراق فأخذ عن السيد محمّد مهدي بحر العلوم، و الشيخ جعفر الكبير صاحب كشف الغطاء، و الاستاذ الأكبر الوحيد البهبهاني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كثيرة منها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مناهج الأحكام و الاصول للمحقّق النراقي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شرح العضدي على مختصر ابن الحاجب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هامش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تكررت هذه العبارة في الكتب الفقهية و هي مضمون عدة من الروايات، لاحظ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لو فرضنا عدم تعلّق الجعل بهما مُستقلًاّ، و لكن مجعوليتهما بمنشئهما غير قابلة للإنكار، و هذا المقدار من الجعل يكفي في جريان الاستصحاب، فلا إشكال في جريانه فيهما؛ لكون وضعهما و رفعهما بيد الشارع و لو تبعاً 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الأنصاري قدّس سرّه و بنى عليه المحقّق الإيرواني في نهاية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الكبرى في الأخبار بلفظها، و إنّما هي مُستفادة من النصوص، لاحظ مثلًا مرسلة العلّامة المذكورة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نهاية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انظر 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انظر 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الحاكي هو الشيخ الأعظم قدّس سرّه، انظر رسائله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حاشية المحقّق الهمداني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كلامه ناظر لخصوص الاستصحاب، لا لمطلق الاصول العمليّة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صفحة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الوليد بن عقبة بن أبي معيط، و اسمه أبان بن أبي عمرو بن امية، له صحبة، و هو أخو عثمان بن عفان لأُمّه، 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خلاف بين أهل العلم بتأويل القرآن فيما علمت أنَّ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جاءكم فاسق بنبإ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الوليد بن عقبة إذ بعثه رسول اللَّه صلى اللَّه عليه و آله في صدقات بني المصطلق فخرجوا يتلقّونه فرحاً به و كانت بينهم عداوة في الجاهلية فظنّ أنّهم همّوا بقتله، فرجع إلى رسول اللَّه صلى اللَّه عليه و 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منعوا صدقاتهم فكان الأمر بخلافه، فغضب النبي صلّى اللَّه عليه و آله، و همّ أن يغزوهم، فنزلت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في 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و انظر هامش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الشهادات،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ناقلًا فيها ذهاب بعض 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الميرزا الشيرازي قدّس سرّه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هذا القول أيضاً،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أنَّه يمكن 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الثاني مركّب من وجود يوم و كونه مسبوقاً بالأوّل، فإذا ثبت الأوّل بالأصل و الوجدان، يثبت الثاني بهما أيضاً و هكذا منه قدّس سرّه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المحقّق النائيني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دلّ على عدم توفيق مثل قتلة الإمام الحسين عليه السلام لعيدي الفطر و الأضحى فإنَّه ظاهر في أنَّ المدار على واقع العيدين، و إلّا لأدركوهما بشهادة العدلين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أحكام شهر رمضان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الرسائل الفشاركية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رسالة اللباس المشكوك للمحقّق النائيني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منية الطالب، نهاية التقرير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آية اللَّه السيد البروجردي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كموثقة ابن بكير المروية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لباس المصلّي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التقرير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الحاشية على 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آية اللَّه السيد البروجردي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هامش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 قد تقدّم في 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منظومة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حكي عن المشهور لا يختصّ بالفرع المذكور، فانظر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كتاب الطهارة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قد حكى قول المحقّق جماعة منهم المقداد السيوري في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 الذخيرة و الجواهر و مصباح الفقيه و غيرهم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الناسب هو شارح الجعفرية كما في كتاب الطهارة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الطهارة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السيد بحر العلوم، و قد لخّص كلامه صاحب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 التفصيل مختلفة، فمنها تفصيل لصاحب رياض المسائل و آخر للشيخ و ثالث للآخوند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تحقيق الإمام قدّس سرّه في فورية خيار الغبن من كتاب البيع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حاشية الآخوند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البيع للإمام قدّس 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شكك</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 التنبيهات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المنطق،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شوارق الإلهام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ما قبل الأخير، شرح 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الأخير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الشواهد الربوبية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صريح الآخوند قدّس سرّه ذهاب بعض 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الميرزا الشيرازي قدّس سرّه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القول أيضاً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المحقّق النائيني قدّس سرّه في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التوهم مُستفاد من رسائل الشيخ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دعوى اختلاف زمان الوصفين مع اتّحاد متعلّقهما مساوق لزوال اليقين و قيام الشكّ مقامه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التعادل و التراجيح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رجوع اصالة الإطلاق إلى أصالة الظهور، و في وجه تقدّم المقيّد على المطلق، كلام يأتي في بعض المباحث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البحث الآتي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دخل عليك من الشك في صلاتك فاعمل على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انصرفت فأتمّ ما ظننت أنّك نقصت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عند قوله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تكون وروداً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تعبداً و حكماً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صفحة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 الآتية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المحقّق النائيني قدّس سرّه انظر 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و قد اختاره المحقّق العراقي قدّس سرّه أيضاً، انظر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و انظر هامش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الحكم من العقل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قيس أبو علي الجلّاب البجلي الدهني، كانت أمّه اخت معاوية بن عمّار، و كان من الفقهاء الأعلام، و الرؤساء المأخوذ عنهم الحلال و الحرام، كان مورداً لعناية الإمام الصادق و الكاظم و الرضا عليهم السلام، روى عن أبيه، و حمران بن أعين، و عبد الأعلى بن أعين، و معاويه بن عمّار، و منصور بن حازم، و آخرين، و روى عنه أحمد بن محمّد بن أبى نصر، و الحسن بن علي بن يقطين، و صفوان بن يحيى، و خلائق، مات بالمدينة فبعث إليه الإمام الرضا عليه السلام بحنوطه و كفنه و جميع ما يحتاج إليه، و أمر مواليه و موالي أبيه و جدّه أن يحضروا جنازته، و دفن في 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علي بن محمّد بن الزبير، و استفاد المُحقِّق الداماد وثاقته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النجاشي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علوّ في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بعيدة، لأنَّ الظاهر من العلوّ هو علوّ السند و قلّة الواسطة، و لا يبعد رجوع الضمير في قول النجاشي إلى أحمد بن عبد الواحد لا الزبيري فراجع، لكن لا تبعد وثاقة الزبيري لكثرة رواياته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عمل الأصحاب بها منه قدّس سرّه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المحدّث الفقيه الكبير الشيخ محمد بن يعقوب بن إسحاق أبو جعفر الكليني الرازي السلسلي البغدادي، ينتسب إلى بيت عريق الأصل في كُلين أخرج عدّة من أعلام الفضيلة و الأدب، إليه انتهت رئاسة الإمامية في أيام الخليفة العبّاسي المقتدر، و قد أدرك زمان سفراء الإمام المهدي المنتظر عجّل اللَّه فرجه، و كان مجلسه يضم أكابر العلماء الراحلين في طلب العلم، فكانوا يحضرون حلقته لمذاكرته و التفقّه عليه، ألّف كتباً عديدة أشهرها و أهمّها كتاب الكافي الحافل بأطائب الأخبار و نفيس الأعلاق، و قد ظلّ حجّة الفقهاء إلى عصرنا هذا و هو أكمل و أفضل من سائر اصول الحديث الاخرى، مات ببغداد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قبره لا يزال شاخصاً فيها تزوره الخاصّة و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رجال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نوابغ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الجليل أبو الحسن علي بن إبراهيم بن هاشم القمّي، من أجلّ رواة أصحابنا، ثقة في الحديث، ثبت، مُعتمد، صحيح المذهب، سمع فأكثر، و صنّف كتباً كثيرة، و أضرّ في وسط عمره، كان في عصر الإمام العسكري عليه السلام، و عاش إلى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أمّا والده الشيخ أبو إسحاق إبراهيم فكان شيخاً من مشايخ الإجازة، فقهياً، محدّثاً من أعيان الطائفة و كبرائهم و أعاظمهم، أصله من الكوفة، و انتقل إلى قم، و هو أوّل من نشر حديث الكوفيين بقم، و روى عن مشايخ كثيرة يبلغ عددهم زهاء مائة و ستين شخصاً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خرجوا منها إلى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فضالة بن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عربي صميم، سكن الأهواز، و كان ثقة في حديثه، مُستقيماً في دينه، عدّه الشيخ في أصحاب الإمامين الكاظم و الرضا عليهما السلام، روى عن عبد اللَّه بن بكير، و الفضيل بن عثمان، و معاوية بن عمار، و داود بن فرقد و آخرين، و روى عنه علي بن إسماعيل الميثمي، و داود بن عيسى، و محمّد بن عيسى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البندقي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عمير الأزدي، من أصحاب الأئمّة الكاظم و الرضا و الجواد عليهم السلام، كان جليل القدر عظيم المنزلة عند أصحابنا و غيرهم حتى عدّت مراسيله مسانيد، و أجمع على تصحيح ما يصح عنه، روى عن أبي بصير، و الحسين بن أبي العلاء، و حمّاد بن عثمان و غيرهم، و روى عنه إبراهيم بن هاشم، و أيوب بن نوح، و الفضل بن شاذان و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 كوفي، بيّاع السابري، استاذ صفوان، عدّه الشيخ فى أصحاب الإمامين الصادق و الكاظم عليهما السلام، روى عن منصور بن حازم، و عبيد بن زرارة، و علي بن يطين، و بكير بن أعين و طائفة، و روى عنه يونس بن عبد الرحمن، و عبد الرحمن بن أبي نجران، و جميل بن دراج، و محمّد بن أبي عمير و خلائق، توفّي في عصر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الرحمن بن أبي ليلى الأنصاري، قاضي الكوفة و مقرئها، كان صدوقاً فيك حديثه، مات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روى عن بقيّة بن الوليد، و عبد اللَّه بن المبارك، و عيسى بن يونس و غيرهم، و روى عنه إبراهيم بن أسباط الزيات، و إبراهيم بن عبد اللَّه بن الجنيد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يزيد بن قيس أبو عمران النخعي، الفقيه الكوفي التابعي و امّه مليكة بنت يزيد، اخت الأسود بن يزيد و عبد الرحمن بن يزيد، عدّه الشيخ في أصحاب الإمام علي و الإمام السجّاد عليهما السلام، روى عن خاليه الأسود و عبد الرحمن و الربيع بن خثيم و سويد بن غفلة و مسروق و أبان بن تغلب و شريح بن الحارث القاضي، و روى عنه سليمان الأعمش و سماك بن حرب و عبد اللَّه بن شبرمة و الحر بن مسكين و محمّد بن سوقة و عبيدة بن معتب الضبي و آخرون، مات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الآدمي الرازي أبو سعيد، كان من أصحاب الأئمّة الجواد و الهادي و العسكري عليهم السلام، روى عن الحسن بن محبوب، و أحمد بن محمّد البرقي، و أحمد بن محمّد بن أبي نصر البزنطي و جعفر بن محمّد الأشعري و غيرهم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العيص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 أبو القاسم، عدّه الشيخ في أصحاب الإمامين الصادق و الكاظم عليهما السلام، كان أكثر ما روى عن الإمام الصادق عليه السلام، و عن يوسف بن إبراهيم، و روى عنه صفوان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 أبو محمّد عدّه الشيخ في أصحاب الأئمّة الأطهار الكاظم و الرضا و الجواد عليهم السلام، و كان وكيلًا للإمام الرضا عليه السلام، و من أوثق أهل زمانه و أعبدهم، و كانت له عند الإمام منزلة شريفة، روى عن عبد اللَّه ابن مسكان، و إسحاق بن عمّار، و العلاء بن رزين و غيرهم، و روى عنه البزنطي، و أيوب بن نوح، و إبراهيم بن هاشم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أعين الشيباني، كوفي، من أصحاب الإمامين الباقر و الصادق عليهما السلام، روى عن أبيه حمران، و محمّد بن مسلم، و عمر بن حنظلة، وزارة و غيرهم، و روى عنه عبيد بن زرارة، و جميل بن درّاج، و عبد اللَّه بن بكير، و منصور بن يونس و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القمّي أبو جعفر شيخ أصحابنا في زمانه كثير الحديث، روى عن أحمد بن محمّد بن خالد، و أحمد بن محمّد بن عيسى، و سلمة بن الخطاب، و عبد اللَّه بن محمّد بن عيسى و غيرهم، و روى عنه ابنه أحمد، و الكليني، و علي بن الحسين بن بابويه، و محمّد بن الحسن بن الوليد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الرواسي أبو عمرو، كان من وكلاء الإمام الكاظم عليه السلام و بقي إلى زمان الإمام الرضا و الجواد عليهما السلام، روى عن سماعة بن مهران، و أبي بصير، و علي بن أبي حمزة و غيرهم، و روى عنه إبراهيم بن هاشم، و أحمد بن محمّد بن خالد البرقي، و أحمد بن محمّد بن عيسى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الجُهني عدّه الشيخ من أصحاب الأئمّة الصادق و الكاظم و الرضا و الجواد عليهم السلام، و هو ممّن أجمع الأصحاب على تصحيح ما يصح عنه، روى عن أبي بصير، و إسحاق بن عمّار، و جميل بن دراج و غيرهم، و روى عنه محمّد بن أبي عمير، و أحمد بن محمّد بن أبي نصر، و إسماعيل بن مهران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شيرة منه قدّس سرّه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من أصحاب الإمام الرضا عليه السلام، روى عن جدّه الحسن بن راشد البغدادي مولى المنصور الدوانيقي، و روى عنه إبراهيم بن هاشم، و أحمد بن محمّد بن خالد البرقي، و أحمد بن محمّد بن عيسى، و محمّد بن عيسى، انظر رجال الطوسي،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 فيه حُسن، و ضعّفه ابن الغضائري 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في العدّة ممّن عمل الأصحاب برواياته 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القاضي أبو عمرو من أصحاب الأئمّة الباقر و الصادق و الكاظم عليهم السلام، كان قاضياً لهارون الرشيد ببغداد الشرقية، ثمّ ولّاه قضاء الكوفة، و قد عملت الطائفة بأخباره، روى عن الزهري و الحجاج و ليث، و روى عنه ولداه محمّد و عمرو، و الحسن بن محبوب، و جميل بن دراج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بالكوفة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 السابق</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و هو من أصحاب الإمامين الهادي و العسكري عليهما السلام، روى عن مسعدة بن صدقة، و علي بن الحكم، و محمّد بن أبي عمير، و القاسم بن عروة و غيرهم، و روى عنه الحسن بن علي بن فضال، و سعيد بن عبد اللَّه الأشعري، و سهل بن زياد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في المنافع المقابلة للأعيان، و هي التي يقال بأنّها معدومة و أنّها تدريجية الوجود غير قار لا المنافع المنفصلة كالثمار، فانظر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ذلك في الاستيلاء المقولي لا الاعتباري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الإمام قدّس سرّه في حاشيته على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 انظر رسالة الإجارة المحقّق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 بحوث في الفقه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البعض في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للمحقّق الآشتياني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قد نسبه إلى المشهور في القواعد الفقهية للسيد البجنوردي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الفقيه السيد محمّد كاظم ابن السيد عبد العظيم الطباطبائي اليزدي، ينتهي نسبه إلى إبراهيم الغمر بن الحسن بن الحسن بن علي بن أبي طالب عليهم السلام، أحد مراجع الدين الكبار، و إليه انتهت الرئاسة العلمية، و كان لغويّاً متقناً فصيحاً قيّماً بالعربية و الفارسية، ينظم و ينثر فيهما، جيد النقد قوي التمييز، ولد في قرية كسنو من قرى يزد حدود سنة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تتلمذ على الإمام الفقيه الكبير الشيخ مهدي اين الشيخ علي نجل كاشف الغطاء و الإمام السيد محمّد حسن الشيرازي و الفقيه المحقق الشيخ راضي ابن الشيخ محمد النجفي و المحقق الشيخ محمّد باقر الأصفهاني و آخرين، أشهر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و حاشية على مكاسب الشيخ الأنصاري، و رسالة في اجتماع الأمر و النهي، و رسالة في الظن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النجف الأشرف ليلة الثلاثاء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عدل عنه سماحة الإمام قدّس سرّه في كتاب البيع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ذاهباً إلى أنَّ حقيقة الخيار حقّ اصطفاه الفسخ</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اليزدي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الخيارات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انظر كتاب البيع لسماحة الإمام قدّس سرّه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المزيد من البيان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شوارق الإلهام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شوارق الإلهام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الحكمة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المُحقق الأصفهاني على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حاشية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الإلهام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الأسفار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الحكمة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البعض في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يتوهم المنافاة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في الأحاديث الموضوعة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بكير، من أصحاب الإمامين الباقر و الصادق عليهما السلام، و من الفقهاء الأعلام و الرؤساء المأخوذ عنهم الحلال و الحرام و الفتيا و الأحكام الذين لا يطعن عليهم، و لا طريق إلى ذمّ واحدٍ منهم، روى عن أبي بصير، و زرارة، و عبيد بن زرارة، و روى عنه محمّد بن أبي عمير، و جعفر بن بشير، و الحسن بن عليّ بن فضّال،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الردّ على أهل العدد و الرؤية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أبي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البزنطي أبو جعفر من أصحاب الأئمّة الأطهار الكاظم و الرضا و الجواد عليهم السلام، و كان عظيم المنزلة عندهم، روى عن أبان بن عثمان، و الحسن بن عليّ بن أبي حمزة، و هشام بن سالم، و روى عنه أحمد بن محمّد ابن خالد البرقي، و محمّد بن عيسى، و الهيثم بن أبي مسروق النهدي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الوافي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الجعفي من أصحاب الإمامين الباقر و الصادق عليهما السلام، روى عن أبي بصير، و يونس بن ظبيان، و أبي عبيدة الحذاء و غيرهم، و روى عنه صفوان بن يحيى، و عبد اللَّه بن سنان، و الحسين بن عثمان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روى في الوسائل صحيحة إسماعيل هذه عن أبي جعفر عليه السلام في هذا الباب، و قد رواها عن أبي عبد اللَّه عليه السلام في باب نسيان السجدة، و السهو في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رواها في الوافي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الظاهر أنَّ الرواية عن أبي جعفر سهو من الناسخ أو من قلمه منه قدّس سرّه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 المحقّق الهمداني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النعمان بن عبد السلام بن جابر بن نعمان بن سعيد بن جبير، أبو عبد اللَّه رئيس الطائفة المحقّة، و علم من أعلام الامّة، و هو أعرف من أن يعرّف، و فضله أشهر من أن يوصف، دافع بقلمه و لسانه عن حريم أهل البيت عليهم السلام، و كتبه و رسائله معروفة متداولة، ولد رحمه اللَّه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عكبرى و توفّي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الأشعري، من أصحاب الإمام العسكري عليه السلام، شيخ هذه الطائفة و فقيهها و وجهها، سمع من حديث العامّة شيئاً كثيراً، توفّي سنة إحدى و ثلاثمائة، و قيل سنة مائتين و تسع و تسعين، روى عن أيّوب بن نوح، و جميل بن صالح، و محمّد بن الحسين بن أبي الخطاب، و روى عنه عليّ بن الحسين بن بابويه، و محمّد بن الحسن بن الوليد، و محمّد بن الوليد، و محمّد 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الخثعمي لقبه كرام كان من أصحاب الإمامين الصادق و الكاظم عليهما السلام، و أضاف الكشي صحبته للإمام الرضا عليه السلام، و هو من الفقهاء الأعلام و الرؤساء المأخوذ عنهم الحلال و الحرام الذين لا يطعن عليهم، و لا طريق لذمّ واحدٍ منهم، روى عن أبي بصير، و أبي بكر الحضرمي، و محمّد بن مسلم و غيرهم، و روى عنه أحمد بن محمّد بن أبي نصر، و جعفر بن بشير، و محمّد بن سنان، انظر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يعفور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كان من حواري الإمامين الباقر و الصادق عليهما السلام، عظيم المنزلة عندهم، يقرئ القرآن في مسجد الكوفة، و قد توفّي في حياة الإمام الصادق عليه السلام سنة الطاعون، روى عن أخيه عبد الكريم، و أبي الصامت، و روى عنه أبان بن عثمان، و إسحاق بن عمّار، و الحسين بن المختار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البجلي، أبو عبد اللَّه، من أصحاب الإمام أبي عبد اللَّه الصادق عليه السلام كوفي، كان يسكنها تارة و البصرة تارة، و قد أخذ عن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إسحاق بن عمّار، و الحسن الصيقل، و عبيد بن زرارة و خلائق، و روى عنه محمّد بن أبي عمير، و يونس بن عبد الرحمن، و عليّ بن الحكم، و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بكير 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من أصحاب الإمامين الباقر و الصادق عليهما السلام، ترحّم عليه الصادق عليه السلام في زمان حياته، و قال عنه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لقد أنزله اللَّه بين رسوله و أمير المؤمنين صلوات اللَّه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عنهما عليهما السلام، و روى عنه عمر بن اذينة، و جميل بن دراج، و زرارة، و حريز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يسار النهدي أبو القاسم، من أصحاب الإمامين الباقر و الصادق عليهما السلام، و ممّن أجمع الأصحاب على تصديقه و الإقرار بالفقه له، و كان الصادق عليه السلام إذا رآه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المُخبتين، من أحبّ أن ينظر رجلًا من أهل الجنّة فلينظر إلى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 زكريا النقاض، و عبد الواحد بن المختار الأنصاري، و روى عنه عمر بن اذينة، و جميل بن دراج، و عبد الكريم بن عمرو الخثعمي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مواقيت الصلاة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متعيّن بعد ما يأتي من عدم تعقّل جعل قاعدة الصحة في الأمر الثالث؛ لأنَّ السؤال إمّا عن الشك في وجود المذكورات، كما هو الظاهر، أو الأعمّ منه و من الشكّ في الشي‌ء باعتبار الشكّ فيما يعتبر فيه، أو محتمل للأمرين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عمرو محمّد بن عمر بن عبد العزيز الكشي، ثقة، بصير بالأخبار و بالرجال، حسن الاعتقاد، مُستقيم المذهب، صحب العياشي و أخذ عنه و تخرَّج عليه، له كتاب معرفة الناقلين عن الأئمّة الصادقين، الذي عمد إليه شيخ الطائفة قدّس سرّه فلخَّصه و سمّاه باختيار معرفة الرجال، توفّي سنة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11432</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الجليل أبو العباس أحمد بن علي بن أحمد بن العباس الأسدي الكوفي، أحد المشايخ الثقات، و العدول الأثبات، من أعظم أركان الجرح و التعديل، مُسلّم عند الكل، غير مخدوش فيه و في كتابه الرجال بوجهٍ من الوجوه، و قد وثّقه و أثنى عليه كلّ من ترجم له من أرباب المعاجم و مصنّفي التراجم، ولد في شهر صفر سنة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بمطرآباد في جمادى الاولى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رجال العلّامة الحلّي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يونس بزرج، كوفي، ثقة، عدّه الشيخ في رجاله ممّن لم يرو عنهم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11833</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حاشية المحقّق الهمداني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المحقّق الهمداني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صفحة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حاشية المحقّق الهمداني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انظر 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الاستصحاب،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كتاب الطهارة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وجوه أصحابنا، روى عن أبيه، و روى عنه الشيخ المفيد، و الحسين بن عبيد اللَّه الغضائري، و أحمد بن 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أحمد بن الوليد شيخ القمّيين و فقيههم و متقدّمهم و وجههم، العارف بالرجال و الأخبار، روى عن محمّد بن الحسن الصفار، و سعد بن عبد اللَّه الأشعري، و روى عنه ابنه، و الشيخ الصدوق، و ابن أبي جيد و غيرهم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في الوسائل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صحّة الأولين منه قدّس سرّه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الاستصحاب، 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كتاب الطهارة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المحقّق الهمداني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و انظر 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الاستصحاب،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انظر 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المحقّق الهمداني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العاشرة،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عبد اللَّه ميمون البصري مولى بني شيبان، و أصله كوفي عدَّه الشيخ في رجاله في أصحاب الإمام الصادق عليه السلام، روى عن حمران بن أعين، و محمَّد بن مسلم، و روى عنه الحسن بن محبوب، و حماد بن عيسى، و فضالة بن أيوب، و عبد اللَّه بن مسكان و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6326</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جعفر العريضي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مَنَّ اللَّه عليه بصحبة أربعة من الأئمّة عليهم السلام، فقد صحب الأئمّة الأطهار الكاظم و الرضا و الجواد و الهادي صلوات اللَّه عليهم، و كان عظيم الطاعة و التسليم لهم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محمّد بن مسلم، و عبد الملك بن قدامة، و الحكم بن بهلول، و روى عنه علي بن أسباط، و سليمان بن حفص، و العمركي البوفكي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الأخير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كاملة في صفحة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المحقّق الهمداني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كمرسلة الصدوق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المتقدّمة في 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الشافية للرضي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المحقّق الهمداني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انظر 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المحقّق الهمداني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الخلل في الصلاة للإمام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كتاب الخلل في الصلاة للإمام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هداية الأبرار للكركي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قاعدة متصيّدة من الروايات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صفحة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اليقطيني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عيسى بن عبيد بن يقطين مولى بني أسد ابن خزيمة، أبو جعفر العبيدي اليقطيني الأسدي الخزيمي البغدادي اليونسي، جليل في أصحابنا، ثقة، عين، كثير الرواية، حسن التصنيف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أصحاب الرضا و الهادي و العسكري و في من لم يرو عنهم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البحث سابقاً في 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البيع للإمام قدّس سرّه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صفحة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حاشية المحقّق الهمداني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الخثعمي أبو جعفر، من مُتكلّمي الإمامية، و من أصحاب الإمامين الصادق و الكاظم عليهما السلام، روى عن شهاب بن عبد ربّه، و محمّد بن مسلم و غيرهم، و روى عنه محمّد بن أبي عمير، و عمر بن اذينة، و صفوان بن يحيى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الثانية و الثلاثون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العاشرة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إمام المحقّقين و قدوة المدافعين عن حريم أهل البيت عليهم السلام، الشيخ محمّد بن مكي بن محمّد بن حامد بن أحمد النبطي العاملي، ولد سنة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تلقّى العلم على يد والده الذي كان عالماً فاضلًا، ثمَّ على يد آخرين من أعلام المذهب، و قد ترك آثاراً رائعة من المؤلّفات كاللمعة و الدروس و البيان و الذكرى و غاية المُراد و غيرها، أجازه عدّة من الأعلام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المحققين، و السيد العميدي، و قطب الدين الرازي و غيرهم، و ممّن تخرّج عليه الفاضل السيوري، و ابن نجدة، و محمّد بن علي الضحاك الشامي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قدّس اللَّه روحه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انظر 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صفحة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ترجمة الحلّي قريباً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روح القصير الأسدي، من أصحاب الأئمّة الباقر و الصادق و الكاظم عليهم السلام و الراوين عنهم، روى عنه عبد اللَّه بن مسكان، و العباس بن عامر القصباني، و حماد بن عثمان،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من سورة 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انظر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أحمد بن محمّد بن خالد البرقي أبو جعفر، عدّه الشيخ في أصحاب الإمامين الجواد و الهادي عليهما السلام، خلّف كتباً كثيرة، روى عن أبيه، و عثمان بن عيسى، و محمّد بن علي و غيرهم، و روى عنه سعد بن عبد اللَّه الأشعري، و علي ابن إبراهيم، و سهل بن زياد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كوفي، ثقة، عدّه الشيخ في رجاله في أصحاب الصادق عليه السلام، روى عن زرارة، و عبد اللَّه ابن فرقد، و روى عنه أحمد بن محمَّد بن أبي نصر، و عبد الرحمن بن أبي نجران، و الحسن بن علي بن فضال، و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أبي شعبة الحلبي، أبو جعفر، وجه أصحابنا و فقيههم، و الثقة الذي لا يطعن عليه، عدّه الشيخ في رجاله في أصحاب الإمامين الباقر و الصادق عليهما السلام روى عن عبد اللَّه بن مسكان، و منصور بن حازم، و أبان بن عثمان، و علي بن النعمان، و روى عنه عبد الرحمن بن الحجّاج، و المفضّل بن صالح، و منصور 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الرحمن بن أبي عبد اللَّه البصري مولى بني شيبان تقدم ترجمته في صفحة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مِهران بن عبد الرحمن الحضرمي الكوفي، مولى عبد بن وائل بن حجر الحضرمي، يكنّى أبا محمّد، من أصحاب الإمام الصادق عليه السلام روى عن محمّد بن عمران، و الكلبي النسابة، و مضمرة و غيرهم، و روى عنه صفوان بن يحيى، و يونس بن عبد الرحمن، و الحسن بن محبوب، و القاسم بن سليمان و آخرون، مات بالمدينة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5546</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معتلف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3958</w:t>
      </w:r>
      <w:r>
        <w:rPr>
          <w:rFonts w:ascii="IRNazanin" w:hAnsi="IRNazanin" w:eastAsia="IRNazanin"/>
          <w:b w:val="false"/>
          <w:b w:val="false"/>
          <w:bCs w:val="false"/>
          <w:i w:val="false"/>
          <w:i w:val="false"/>
          <w:iCs w:val="false"/>
          <w:color w:val="333333"/>
          <w:sz w:val="20"/>
          <w:sz w:val="20"/>
          <w:szCs w:val="20"/>
          <w:rtl w:val="true"/>
        </w:rPr>
        <w:t xml:space="preserve">، جامع الاصول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للأهوازي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الدرّ المنثور للسيوطي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صفحة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صفحة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صفحة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صفحة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صفحة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صفحة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أبو إسحاق، كان فقيهاً من أصحاب الإمامين الصادق و الكاظم عليهما السلام، و من قرّاء القرآن و اللغويين الأجلّاء، روى عن زرارة بن أعين، و عمّار الساباطي، و محمَّد بن مسلم، و روى عنه الحسن بن علي بن فضال، و محمّد بن إسماعيل بن بزيع، و عبد اللَّه بن محمَّد الحجّال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معاوية خبّاب بن عبد اللَّه أبو القاسم الدهني، من أصحاب الإمامين الصادق و الكاظم عليهما السلام، كان من خواصّ الإمام الصادق عليه السلام و وجهاً من وجوه الأصحاب، كبير الشأن عظيم المحل روى عن أبي بصير، و أبي حمزة الثمالي، و عمر بن يزيد، و روى عنه محمَّد بن أبي عمير، و أحمد بن محمَّد بن أبي نصر البزنطي، و الحسن بن محبوب، مات سنة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الكبير الشيخ أبو عبد اللَّه محمَّد بن أحمد بن إدريس العجلي الربعي الحلي، كان شيخ الفقهاء بالحلة، مُتقناً للعلوم، كثير التصانيف، أطراه كثير من أصحاب المعاجم، كانت ولادته سنة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يروي عن جماعة من الأعلام، منهم الشريف أبو الحسن علي بن إبراهيم العلوي العريضي، و الشيخ عربي بن مسافر العبادي، و السيد أبو المكارم حمزة بن زهرة، و الشيخ الحسين بن رطبة السوراوي و غيرهم، و يروي عنه السيد فخار بن معد الموسوي، و الشيخ نجيب الدين محمّد بن جعفر بن نما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الكنى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المحدّث الحر العاملي في الفصول المهمّة على ما نقل عنه المحقّق النراقي في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منظومة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الحكمة، 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أبي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صادق اللهجة من أهل الدين و كان من أصحاب الهادي و العسكري عليهما السلام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الطيّار من أصحاب الإمامين الباقر و الصادق عليهما السلام و الراوي عنهما، و قد روي أنَّ الإمام الباقر عليه السلام كان يباهي بالطيار، روى عنه أبان، و عبد اللَّه بن بكير، و ثعلبة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11148</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يشبه هذا الحديث ما مضى عن الصدوق في صفحة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 هو أحد سهام الميسر العشرة ممّا لا نصيب له منه قدّس سرّه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صفحة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المحقّق النائيني على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صفحة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63.xml"/><Relationship Id="rId471" Type="http://schemas.openxmlformats.org/officeDocument/2006/relationships/footnotes" Target="footnotes.xml"/><Relationship Id="rId472" Type="http://schemas.openxmlformats.org/officeDocument/2006/relationships/numbering" Target="numbering.xml"/><Relationship Id="rId473" Type="http://schemas.openxmlformats.org/officeDocument/2006/relationships/fontTable" Target="fontTable.xml"/><Relationship Id="rId474" Type="http://schemas.openxmlformats.org/officeDocument/2006/relationships/settings" Target="settings.xml"/><Relationship Id="rId4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474</Pages>
  <Words>82741</Words>
  <Characters>349154</Characters>
  <CharactersWithSpaces>428731</CharactersWithSpaces>
  <Paragraphs>3165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2026-08-17T03:48:55Z</dcterms:created>
  <dc:creator>ghaemiyeh.com</dc:creator>
  <dc:description/>
  <dc:language>en-US</dc:language>
  <cp:lastModifiedBy/>
  <dcterms:modified xsi:type="dcterms:W3CDTF">2026-08-17T07:19:09Z</dcterms:modified>
  <cp:revision>1</cp:revision>
  <dc:subject/>
  <dc:title>الاستصحاب</dc:title>
</cp:coreProperties>
</file>

<file path=docProps/custom.xml><?xml version="1.0" encoding="utf-8"?>
<Properties xmlns="http://schemas.openxmlformats.org/officeDocument/2006/custom-properties" xmlns:vt="http://schemas.openxmlformats.org/officeDocument/2006/docPropsVTypes"/>
</file>