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مکانه اهل البیت علیهم السلام فی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190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8190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81906_3650668749">
            <w:r>
              <w:rPr>
                <w:webHidden/>
                <w:rStyle w:val="IndexLink"/>
                <w:rtl w:val="true"/>
              </w:rPr>
              <w:t>ديباجه</w:t>
            </w:r>
            <w:r>
              <w:rPr>
                <w:rStyle w:val="IndexLink"/>
                <w:rtl w:val="true"/>
              </w:rPr>
              <w:tab/>
            </w:r>
            <w:r>
              <w:rPr>
                <w:rStyle w:val="IndexLink"/>
              </w:rPr>
              <w:t>8</w:t>
            </w:r>
          </w:hyperlink>
        </w:p>
        <w:p>
          <w:pPr>
            <w:pStyle w:val="Contents2"/>
            <w:tabs>
              <w:tab w:val="clear" w:pos="8743"/>
              <w:tab w:val="right" w:pos="9026" w:leader="dot"/>
            </w:tabs>
            <w:rPr/>
          </w:pPr>
          <w:hyperlink w:anchor="__RefHeading___Toc4081908_3650668749">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081910_3650668749">
            <w:r>
              <w:rPr>
                <w:webHidden/>
                <w:rStyle w:val="IndexLink"/>
                <w:rtl w:val="true"/>
              </w:rPr>
              <w:t>خلفية السؤال حول الأئمة</w:t>
            </w:r>
            <w:r>
              <w:rPr>
                <w:rStyle w:val="IndexLink"/>
                <w:rtl w:val="true"/>
              </w:rPr>
              <w:t>:</w:t>
              <w:tab/>
            </w:r>
            <w:r>
              <w:rPr>
                <w:rStyle w:val="IndexLink"/>
              </w:rPr>
              <w:t>12</w:t>
            </w:r>
          </w:hyperlink>
        </w:p>
        <w:p>
          <w:pPr>
            <w:pStyle w:val="Contents2"/>
            <w:tabs>
              <w:tab w:val="clear" w:pos="8743"/>
              <w:tab w:val="right" w:pos="9026" w:leader="dot"/>
            </w:tabs>
            <w:rPr/>
          </w:pPr>
          <w:hyperlink w:anchor="__RefHeading___Toc4081912_3650668749">
            <w:r>
              <w:rPr>
                <w:webHidden/>
                <w:rStyle w:val="IndexLink"/>
                <w:rtl w:val="true"/>
              </w:rPr>
              <w:t>الطبيعة الإجمالية للقرآن</w:t>
            </w:r>
            <w:r>
              <w:rPr>
                <w:rStyle w:val="IndexLink"/>
                <w:rtl w:val="true"/>
              </w:rPr>
              <w:tab/>
            </w:r>
            <w:r>
              <w:rPr>
                <w:rStyle w:val="IndexLink"/>
              </w:rPr>
              <w:t>16</w:t>
            </w:r>
          </w:hyperlink>
        </w:p>
        <w:p>
          <w:pPr>
            <w:pStyle w:val="Contents2"/>
            <w:tabs>
              <w:tab w:val="clear" w:pos="8743"/>
              <w:tab w:val="right" w:pos="9026" w:leader="dot"/>
            </w:tabs>
            <w:rPr/>
          </w:pPr>
          <w:hyperlink w:anchor="__RefHeading___Toc4081914_3650668749">
            <w:r>
              <w:rPr>
                <w:webHidden/>
                <w:rStyle w:val="IndexLink"/>
                <w:rtl w:val="true"/>
              </w:rPr>
              <w:t>المجالات الاجتماعية والسياسية في القرآن الكريم</w:t>
            </w:r>
            <w:r>
              <w:rPr>
                <w:rStyle w:val="IndexLink"/>
                <w:rtl w:val="true"/>
              </w:rPr>
              <w:tab/>
            </w:r>
            <w:r>
              <w:rPr>
                <w:rStyle w:val="IndexLink"/>
              </w:rPr>
              <w:t>20</w:t>
            </w:r>
          </w:hyperlink>
        </w:p>
        <w:p>
          <w:pPr>
            <w:pStyle w:val="Contents2"/>
            <w:tabs>
              <w:tab w:val="clear" w:pos="8743"/>
              <w:tab w:val="right" w:pos="9026" w:leader="dot"/>
            </w:tabs>
            <w:rPr/>
          </w:pPr>
          <w:hyperlink w:anchor="__RefHeading___Toc4081916_3650668749">
            <w:r>
              <w:rPr>
                <w:webHidden/>
                <w:rStyle w:val="IndexLink"/>
                <w:rtl w:val="true"/>
              </w:rPr>
              <w:t xml:space="preserve">أهمية </w:t>
            </w:r>
            <w:r>
              <w:rPr>
                <w:rStyle w:val="IndexLink"/>
                <w:rtl w:val="true"/>
              </w:rPr>
              <w:t>«</w:t>
            </w:r>
            <w:r>
              <w:rPr>
                <w:rStyle w:val="IndexLink"/>
                <w:rtl w:val="true"/>
              </w:rPr>
              <w:t>سبب النزول</w:t>
            </w:r>
            <w:r>
              <w:rPr>
                <w:rStyle w:val="IndexLink"/>
                <w:rtl w:val="true"/>
              </w:rPr>
              <w:t xml:space="preserve">» </w:t>
            </w:r>
            <w:r>
              <w:rPr>
                <w:rStyle w:val="IndexLink"/>
                <w:rtl w:val="true"/>
              </w:rPr>
              <w:t>في فهم الآيات التأريخية</w:t>
            </w:r>
            <w:r>
              <w:rPr>
                <w:rStyle w:val="IndexLink"/>
                <w:rtl w:val="true"/>
              </w:rPr>
              <w:tab/>
            </w:r>
            <w:r>
              <w:rPr>
                <w:rStyle w:val="IndexLink"/>
              </w:rPr>
              <w:t>24</w:t>
            </w:r>
          </w:hyperlink>
        </w:p>
        <w:p>
          <w:pPr>
            <w:pStyle w:val="Contents2"/>
            <w:tabs>
              <w:tab w:val="clear" w:pos="8743"/>
              <w:tab w:val="right" w:pos="9026" w:leader="dot"/>
            </w:tabs>
            <w:rPr/>
          </w:pPr>
          <w:hyperlink w:anchor="__RefHeading___Toc4081918_3650668749">
            <w:r>
              <w:rPr>
                <w:webHidden/>
                <w:rStyle w:val="IndexLink"/>
                <w:rtl w:val="true"/>
              </w:rPr>
              <w:t xml:space="preserve">مكانة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القرآن</w:t>
            </w:r>
            <w:r>
              <w:rPr>
                <w:rStyle w:val="IndexLink"/>
                <w:rtl w:val="true"/>
              </w:rPr>
              <w:tab/>
            </w:r>
            <w:r>
              <w:rPr>
                <w:rStyle w:val="IndexLink"/>
              </w:rPr>
              <w:t>28</w:t>
            </w:r>
          </w:hyperlink>
        </w:p>
        <w:p>
          <w:pPr>
            <w:pStyle w:val="Contents2"/>
            <w:tabs>
              <w:tab w:val="clear" w:pos="8743"/>
              <w:tab w:val="right" w:pos="9026" w:leader="dot"/>
            </w:tabs>
            <w:rPr/>
          </w:pPr>
          <w:hyperlink w:anchor="__RefHeading___Toc4081920_3650668749">
            <w:r>
              <w:rPr>
                <w:webHidden/>
                <w:rStyle w:val="IndexLink"/>
              </w:rPr>
              <w:t>١</w:t>
            </w:r>
            <w:r>
              <w:rPr>
                <w:rStyle w:val="IndexLink"/>
                <w:rtl w:val="true"/>
              </w:rPr>
              <w:t xml:space="preserve">- </w:t>
            </w:r>
            <w:r>
              <w:rPr>
                <w:rStyle w:val="IndexLink"/>
                <w:rtl w:val="true"/>
              </w:rPr>
              <w:t>التضحية الكبرى إبَّان الهجرة</w:t>
            </w:r>
            <w:r>
              <w:rPr>
                <w:rStyle w:val="IndexLink"/>
                <w:rtl w:val="true"/>
              </w:rPr>
              <w:tab/>
            </w:r>
            <w:r>
              <w:rPr>
                <w:rStyle w:val="IndexLink"/>
              </w:rPr>
              <w:t>30</w:t>
            </w:r>
          </w:hyperlink>
        </w:p>
        <w:p>
          <w:pPr>
            <w:pStyle w:val="Contents2"/>
            <w:tabs>
              <w:tab w:val="clear" w:pos="8743"/>
              <w:tab w:val="right" w:pos="9026" w:leader="dot"/>
            </w:tabs>
            <w:rPr/>
          </w:pPr>
          <w:hyperlink w:anchor="__RefHeading___Toc4081922_3650668749">
            <w:r>
              <w:rPr>
                <w:webHidden/>
                <w:rStyle w:val="IndexLink"/>
              </w:rPr>
              <w:t>٢</w:t>
            </w:r>
            <w:r>
              <w:rPr>
                <w:rStyle w:val="IndexLink"/>
                <w:rtl w:val="true"/>
              </w:rPr>
              <w:t xml:space="preserve">- </w:t>
            </w:r>
            <w:r>
              <w:rPr>
                <w:rStyle w:val="IndexLink"/>
                <w:rtl w:val="true"/>
              </w:rPr>
              <w:t>أهل البيت</w:t>
            </w:r>
            <w:r>
              <w:rPr>
                <w:rStyle w:val="IndexLink"/>
                <w:rtl w:val="true"/>
              </w:rPr>
              <w:t xml:space="preserve">: </w:t>
            </w:r>
            <w:r>
              <w:rPr>
                <w:rStyle w:val="IndexLink"/>
                <w:rtl w:val="true"/>
              </w:rPr>
              <w:t>في يوم المباهلة</w:t>
            </w:r>
            <w:r>
              <w:rPr>
                <w:rStyle w:val="IndexLink"/>
                <w:rtl w:val="true"/>
              </w:rPr>
              <w:tab/>
            </w:r>
            <w:r>
              <w:rPr>
                <w:rStyle w:val="IndexLink"/>
              </w:rPr>
              <w:t>33</w:t>
            </w:r>
          </w:hyperlink>
        </w:p>
        <w:p>
          <w:pPr>
            <w:pStyle w:val="Contents2"/>
            <w:tabs>
              <w:tab w:val="clear" w:pos="8743"/>
              <w:tab w:val="right" w:pos="9026" w:leader="dot"/>
            </w:tabs>
            <w:rPr/>
          </w:pPr>
          <w:hyperlink w:anchor="__RefHeading___Toc4081924_3650668749">
            <w:r>
              <w:rPr>
                <w:webHidden/>
                <w:rStyle w:val="IndexLink"/>
              </w:rPr>
              <w:t>٣</w:t>
            </w:r>
            <w:r>
              <w:rPr>
                <w:rStyle w:val="IndexLink"/>
                <w:rtl w:val="true"/>
              </w:rPr>
              <w:t xml:space="preserve">- </w:t>
            </w:r>
            <w:r>
              <w:rPr>
                <w:rStyle w:val="IndexLink"/>
                <w:rtl w:val="true"/>
              </w:rPr>
              <w:t>أُولو الأمر من منظار القرآن</w:t>
            </w:r>
            <w:r>
              <w:rPr>
                <w:rStyle w:val="IndexLink"/>
                <w:rtl w:val="true"/>
              </w:rPr>
              <w:tab/>
            </w:r>
            <w:r>
              <w:rPr>
                <w:rStyle w:val="IndexLink"/>
              </w:rPr>
              <w:t>35</w:t>
            </w:r>
          </w:hyperlink>
        </w:p>
        <w:p>
          <w:pPr>
            <w:pStyle w:val="Contents2"/>
            <w:tabs>
              <w:tab w:val="clear" w:pos="8743"/>
              <w:tab w:val="right" w:pos="9026" w:leader="dot"/>
            </w:tabs>
            <w:rPr/>
          </w:pPr>
          <w:hyperlink w:anchor="__RefHeading___Toc4081926_3650668749">
            <w:r>
              <w:rPr>
                <w:webHidden/>
                <w:rStyle w:val="IndexLink"/>
              </w:rPr>
              <w:t>۴</w:t>
            </w:r>
            <w:r>
              <w:rPr>
                <w:rStyle w:val="IndexLink"/>
                <w:rtl w:val="true"/>
              </w:rPr>
              <w:t xml:space="preserve">- </w:t>
            </w:r>
            <w:r>
              <w:rPr>
                <w:rStyle w:val="IndexLink"/>
                <w:rtl w:val="true"/>
              </w:rPr>
              <w:t>كمال الدِّين في ظلِّ الولاية</w:t>
            </w:r>
            <w:r>
              <w:rPr>
                <w:rStyle w:val="IndexLink"/>
                <w:rtl w:val="true"/>
              </w:rPr>
              <w:tab/>
            </w:r>
            <w:r>
              <w:rPr>
                <w:rStyle w:val="IndexLink"/>
              </w:rPr>
              <w:t>38</w:t>
            </w:r>
          </w:hyperlink>
        </w:p>
        <w:p>
          <w:pPr>
            <w:pStyle w:val="Contents2"/>
            <w:tabs>
              <w:tab w:val="clear" w:pos="8743"/>
              <w:tab w:val="right" w:pos="9026" w:leader="dot"/>
            </w:tabs>
            <w:rPr/>
          </w:pPr>
          <w:hyperlink w:anchor="__RefHeading___Toc4081928_3650668749">
            <w:r>
              <w:rPr>
                <w:webHidden/>
                <w:rStyle w:val="IndexLink"/>
              </w:rPr>
              <w:t>۵</w:t>
            </w:r>
            <w:r>
              <w:rPr>
                <w:rStyle w:val="IndexLink"/>
                <w:rtl w:val="true"/>
              </w:rPr>
              <w:t xml:space="preserve">- </w:t>
            </w:r>
            <w:r>
              <w:rPr>
                <w:rStyle w:val="IndexLink"/>
                <w:rtl w:val="true"/>
              </w:rPr>
              <w:t>وليّ المؤمنين</w:t>
            </w:r>
            <w:r>
              <w:rPr>
                <w:rStyle w:val="IndexLink"/>
                <w:rtl w:val="true"/>
              </w:rPr>
              <w:tab/>
            </w:r>
            <w:r>
              <w:rPr>
                <w:rStyle w:val="IndexLink"/>
              </w:rPr>
              <w:t>43</w:t>
            </w:r>
          </w:hyperlink>
        </w:p>
        <w:p>
          <w:pPr>
            <w:pStyle w:val="Contents2"/>
            <w:tabs>
              <w:tab w:val="clear" w:pos="8743"/>
              <w:tab w:val="right" w:pos="9026" w:leader="dot"/>
            </w:tabs>
            <w:rPr/>
          </w:pPr>
          <w:hyperlink w:anchor="__RefHeading___Toc4081930_3650668749">
            <w:r>
              <w:rPr>
                <w:webHidden/>
                <w:rStyle w:val="IndexLink"/>
              </w:rPr>
              <w:t>۶</w:t>
            </w:r>
            <w:r>
              <w:rPr>
                <w:rStyle w:val="IndexLink"/>
                <w:rtl w:val="true"/>
              </w:rPr>
              <w:t xml:space="preserve">- </w:t>
            </w:r>
            <w:r>
              <w:rPr>
                <w:rStyle w:val="IndexLink"/>
                <w:rtl w:val="true"/>
              </w:rPr>
              <w:t>إبلاغ آخر رسالة، تكميل الرسالة</w:t>
            </w:r>
            <w:r>
              <w:rPr>
                <w:rStyle w:val="IndexLink"/>
                <w:rtl w:val="true"/>
              </w:rPr>
              <w:tab/>
            </w:r>
            <w:r>
              <w:rPr>
                <w:rStyle w:val="IndexLink"/>
              </w:rPr>
              <w:t>47</w:t>
            </w:r>
          </w:hyperlink>
        </w:p>
        <w:p>
          <w:pPr>
            <w:pStyle w:val="Contents2"/>
            <w:tabs>
              <w:tab w:val="clear" w:pos="8743"/>
              <w:tab w:val="right" w:pos="9026" w:leader="dot"/>
            </w:tabs>
            <w:rPr/>
          </w:pPr>
          <w:hyperlink w:anchor="__RefHeading___Toc4081932_3650668749">
            <w:r>
              <w:rPr>
                <w:webHidden/>
                <w:rStyle w:val="IndexLink"/>
              </w:rPr>
              <w:t>٧</w:t>
            </w:r>
            <w:r>
              <w:rPr>
                <w:rStyle w:val="IndexLink"/>
                <w:rtl w:val="true"/>
              </w:rPr>
              <w:t xml:space="preserve">- </w:t>
            </w:r>
            <w:r>
              <w:rPr>
                <w:rStyle w:val="IndexLink"/>
                <w:rtl w:val="true"/>
              </w:rPr>
              <w:t>مُنادي البراءة من المشركين</w:t>
            </w:r>
            <w:r>
              <w:rPr>
                <w:rStyle w:val="IndexLink"/>
                <w:rtl w:val="true"/>
              </w:rPr>
              <w:tab/>
            </w:r>
            <w:r>
              <w:rPr>
                <w:rStyle w:val="IndexLink"/>
              </w:rPr>
              <w:t>52</w:t>
            </w:r>
          </w:hyperlink>
        </w:p>
        <w:p>
          <w:pPr>
            <w:pStyle w:val="Contents2"/>
            <w:tabs>
              <w:tab w:val="clear" w:pos="8743"/>
              <w:tab w:val="right" w:pos="9026" w:leader="dot"/>
            </w:tabs>
            <w:rPr/>
          </w:pPr>
          <w:hyperlink w:anchor="__RefHeading___Toc4081934_3650668749">
            <w:r>
              <w:rPr>
                <w:webHidden/>
                <w:rStyle w:val="IndexLink"/>
              </w:rPr>
              <w:t>٨</w:t>
            </w:r>
            <w:r>
              <w:rPr>
                <w:rStyle w:val="IndexLink"/>
                <w:rtl w:val="true"/>
              </w:rPr>
              <w:t xml:space="preserve">- </w:t>
            </w:r>
            <w:r>
              <w:rPr>
                <w:rStyle w:val="IndexLink"/>
                <w:rtl w:val="true"/>
              </w:rPr>
              <w:t>رائد ميادين الإيمان والجهاد</w:t>
            </w:r>
            <w:r>
              <w:rPr>
                <w:rStyle w:val="IndexLink"/>
                <w:rtl w:val="true"/>
              </w:rPr>
              <w:tab/>
            </w:r>
            <w:r>
              <w:rPr>
                <w:rStyle w:val="IndexLink"/>
              </w:rPr>
              <w:t>55</w:t>
            </w:r>
          </w:hyperlink>
        </w:p>
        <w:p>
          <w:pPr>
            <w:pStyle w:val="Contents2"/>
            <w:tabs>
              <w:tab w:val="clear" w:pos="8743"/>
              <w:tab w:val="right" w:pos="9026" w:leader="dot"/>
            </w:tabs>
            <w:rPr/>
          </w:pPr>
          <w:hyperlink w:anchor="__RefHeading___Toc4081936_3650668749">
            <w:r>
              <w:rPr>
                <w:webHidden/>
                <w:rStyle w:val="IndexLink"/>
              </w:rPr>
              <w:t>٩</w:t>
            </w:r>
            <w:r>
              <w:rPr>
                <w:rStyle w:val="IndexLink"/>
                <w:rtl w:val="true"/>
              </w:rPr>
              <w:t xml:space="preserve">- </w:t>
            </w:r>
            <w:r>
              <w:rPr>
                <w:rStyle w:val="IndexLink"/>
                <w:rtl w:val="true"/>
              </w:rPr>
              <w:t>تعيين الوَصيّ في بداية الدعوة</w:t>
            </w:r>
            <w:r>
              <w:rPr>
                <w:rStyle w:val="IndexLink"/>
                <w:rtl w:val="true"/>
              </w:rPr>
              <w:tab/>
            </w:r>
            <w:r>
              <w:rPr>
                <w:rStyle w:val="IndexLink"/>
              </w:rPr>
              <w:t>57</w:t>
            </w:r>
          </w:hyperlink>
        </w:p>
        <w:p>
          <w:pPr>
            <w:pStyle w:val="Contents2"/>
            <w:tabs>
              <w:tab w:val="clear" w:pos="8743"/>
              <w:tab w:val="right" w:pos="9026" w:leader="dot"/>
            </w:tabs>
            <w:rPr/>
          </w:pPr>
          <w:hyperlink w:anchor="__RefHeading___Toc4081938_3650668749">
            <w:r>
              <w:rPr>
                <w:webHidden/>
                <w:rStyle w:val="IndexLink"/>
              </w:rPr>
              <w:t>١٠</w:t>
            </w:r>
            <w:r>
              <w:rPr>
                <w:rStyle w:val="IndexLink"/>
                <w:rtl w:val="true"/>
              </w:rPr>
              <w:t xml:space="preserve"> </w:t>
            </w:r>
            <w:r>
              <w:rPr>
                <w:rStyle w:val="IndexLink"/>
                <w:rtl w:val="true"/>
              </w:rPr>
              <w:t xml:space="preserve">- </w:t>
            </w:r>
            <w:r>
              <w:rPr>
                <w:rStyle w:val="IndexLink"/>
                <w:rtl w:val="true"/>
              </w:rPr>
              <w:t>عصمة أهل البيت</w:t>
            </w:r>
            <w:r>
              <w:rPr>
                <w:rStyle w:val="IndexLink"/>
                <w:rtl w:val="true"/>
              </w:rPr>
              <w:t xml:space="preserve">: </w:t>
            </w:r>
            <w:r>
              <w:rPr>
                <w:rStyle w:val="IndexLink"/>
                <w:rtl w:val="true"/>
              </w:rPr>
              <w:t>في القرآن</w:t>
            </w:r>
            <w:r>
              <w:rPr>
                <w:rStyle w:val="IndexLink"/>
                <w:rtl w:val="true"/>
              </w:rPr>
              <w:tab/>
            </w:r>
            <w:r>
              <w:rPr>
                <w:rStyle w:val="IndexLink"/>
              </w:rPr>
              <w:t>61</w:t>
            </w:r>
          </w:hyperlink>
        </w:p>
        <w:p>
          <w:pPr>
            <w:pStyle w:val="Contents2"/>
            <w:tabs>
              <w:tab w:val="clear" w:pos="8743"/>
              <w:tab w:val="right" w:pos="9026" w:leader="dot"/>
            </w:tabs>
            <w:rPr/>
          </w:pPr>
          <w:hyperlink w:anchor="__RefHeading___Toc4081940_3650668749">
            <w:r>
              <w:rPr>
                <w:webHidden/>
                <w:rStyle w:val="IndexLink"/>
              </w:rPr>
              <w:t>١١</w:t>
            </w:r>
            <w:r>
              <w:rPr>
                <w:rStyle w:val="IndexLink"/>
                <w:rtl w:val="true"/>
              </w:rPr>
              <w:t xml:space="preserve"> </w:t>
            </w:r>
            <w:r>
              <w:rPr>
                <w:rStyle w:val="IndexLink"/>
                <w:rtl w:val="true"/>
              </w:rPr>
              <w:t xml:space="preserve">- </w:t>
            </w:r>
            <w:r>
              <w:rPr>
                <w:rStyle w:val="IndexLink"/>
                <w:rtl w:val="true"/>
              </w:rPr>
              <w:t>أجر الرسالة</w:t>
            </w:r>
            <w:r>
              <w:rPr>
                <w:rStyle w:val="IndexLink"/>
                <w:rtl w:val="true"/>
              </w:rPr>
              <w:tab/>
            </w:r>
            <w:r>
              <w:rPr>
                <w:rStyle w:val="IndexLink"/>
              </w:rPr>
              <w:t>64</w:t>
            </w:r>
          </w:hyperlink>
        </w:p>
        <w:p>
          <w:pPr>
            <w:pStyle w:val="Contents2"/>
            <w:tabs>
              <w:tab w:val="clear" w:pos="8743"/>
              <w:tab w:val="right" w:pos="9026" w:leader="dot"/>
            </w:tabs>
            <w:rPr/>
          </w:pPr>
          <w:hyperlink w:anchor="__RefHeading___Toc4081942_3650668749">
            <w:r>
              <w:rPr>
                <w:webHidden/>
                <w:rStyle w:val="IndexLink"/>
              </w:rPr>
              <w:t>١٢</w:t>
            </w:r>
            <w:r>
              <w:rPr>
                <w:rStyle w:val="IndexLink"/>
                <w:rtl w:val="true"/>
              </w:rPr>
              <w:t xml:space="preserve"> </w:t>
            </w:r>
            <w:r>
              <w:rPr>
                <w:rStyle w:val="IndexLink"/>
                <w:rtl w:val="true"/>
              </w:rPr>
              <w:t xml:space="preserve">- </w:t>
            </w:r>
            <w:r>
              <w:rPr>
                <w:rStyle w:val="IndexLink"/>
                <w:rtl w:val="true"/>
              </w:rPr>
              <w:t>المَنقبة الخاصّة في الإنفاق الخاصّ</w:t>
            </w:r>
            <w:r>
              <w:rPr>
                <w:rStyle w:val="IndexLink"/>
                <w:rtl w:val="true"/>
              </w:rPr>
              <w:tab/>
            </w:r>
            <w:r>
              <w:rPr>
                <w:rStyle w:val="IndexLink"/>
              </w:rPr>
              <w:t>69</w:t>
            </w:r>
          </w:hyperlink>
        </w:p>
        <w:p>
          <w:pPr>
            <w:pStyle w:val="Contents2"/>
            <w:tabs>
              <w:tab w:val="clear" w:pos="8743"/>
              <w:tab w:val="right" w:pos="9026" w:leader="dot"/>
            </w:tabs>
            <w:rPr/>
          </w:pPr>
          <w:hyperlink w:anchor="__RefHeading___Toc4081944_3650668749">
            <w:r>
              <w:rPr>
                <w:webHidden/>
                <w:rStyle w:val="IndexLink"/>
              </w:rPr>
              <w:t>١٣</w:t>
            </w:r>
            <w:r>
              <w:rPr>
                <w:rStyle w:val="IndexLink"/>
                <w:rtl w:val="true"/>
              </w:rPr>
              <w:t xml:space="preserve"> </w:t>
            </w:r>
            <w:r>
              <w:rPr>
                <w:rStyle w:val="IndexLink"/>
                <w:rtl w:val="true"/>
              </w:rPr>
              <w:t xml:space="preserve">- </w:t>
            </w:r>
            <w:r>
              <w:rPr>
                <w:rStyle w:val="IndexLink"/>
                <w:rtl w:val="true"/>
              </w:rPr>
              <w:t>عظمة الإيثار</w:t>
            </w:r>
            <w:r>
              <w:rPr>
                <w:rStyle w:val="IndexLink"/>
                <w:rtl w:val="true"/>
              </w:rPr>
              <w:tab/>
            </w:r>
            <w:r>
              <w:rPr>
                <w:rStyle w:val="IndexLink"/>
              </w:rPr>
              <w:t>72</w:t>
            </w:r>
          </w:hyperlink>
        </w:p>
        <w:p>
          <w:pPr>
            <w:pStyle w:val="Contents2"/>
            <w:tabs>
              <w:tab w:val="clear" w:pos="8743"/>
              <w:tab w:val="right" w:pos="9026" w:leader="dot"/>
            </w:tabs>
            <w:rPr/>
          </w:pPr>
          <w:hyperlink w:anchor="__RefHeading___Toc4081946_3650668749">
            <w:r>
              <w:rPr>
                <w:webHidden/>
                <w:rStyle w:val="IndexLink"/>
              </w:rPr>
              <w:t>١۴</w:t>
            </w:r>
            <w:r>
              <w:rPr>
                <w:rStyle w:val="IndexLink"/>
                <w:rtl w:val="true"/>
              </w:rPr>
              <w:t xml:space="preserve"> </w:t>
            </w:r>
            <w:r>
              <w:rPr>
                <w:rStyle w:val="IndexLink"/>
                <w:rtl w:val="true"/>
              </w:rPr>
              <w:t xml:space="preserve">- </w:t>
            </w:r>
            <w:r>
              <w:rPr>
                <w:rStyle w:val="IndexLink"/>
                <w:rtl w:val="true"/>
              </w:rPr>
              <w:t>خير البريّة</w:t>
            </w:r>
            <w:r>
              <w:rPr>
                <w:rStyle w:val="IndexLink"/>
                <w:rtl w:val="true"/>
              </w:rPr>
              <w:tab/>
            </w:r>
            <w:r>
              <w:rPr>
                <w:rStyle w:val="IndexLink"/>
              </w:rPr>
              <w:t>74</w:t>
            </w:r>
          </w:hyperlink>
        </w:p>
        <w:p>
          <w:pPr>
            <w:pStyle w:val="Contents2"/>
            <w:tabs>
              <w:tab w:val="clear" w:pos="8743"/>
              <w:tab w:val="right" w:pos="9026" w:leader="dot"/>
            </w:tabs>
            <w:rPr/>
          </w:pPr>
          <w:hyperlink w:anchor="__RefHeading___Toc4081948_3650668749">
            <w:r>
              <w:rPr>
                <w:webHidden/>
                <w:rStyle w:val="IndexLink"/>
              </w:rPr>
              <w:t>١۵</w:t>
            </w:r>
            <w:r>
              <w:rPr>
                <w:rStyle w:val="IndexLink"/>
                <w:rtl w:val="true"/>
              </w:rPr>
              <w:t xml:space="preserve"> </w:t>
            </w:r>
            <w:r>
              <w:rPr>
                <w:rStyle w:val="IndexLink"/>
                <w:rtl w:val="true"/>
              </w:rPr>
              <w:t xml:space="preserve">- </w:t>
            </w:r>
            <w:r>
              <w:rPr>
                <w:rStyle w:val="IndexLink"/>
                <w:rtl w:val="true"/>
              </w:rPr>
              <w:t>كوثر الرسالة والعقب المبارك</w:t>
            </w:r>
            <w:r>
              <w:rPr>
                <w:rStyle w:val="IndexLink"/>
                <w:rtl w:val="true"/>
              </w:rPr>
              <w:tab/>
            </w:r>
            <w:r>
              <w:rPr>
                <w:rStyle w:val="IndexLink"/>
              </w:rPr>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_28868"/>
      <w:bookmarkStart w:id="1" w:name="pg2016_28868"/>
      <w:bookmarkEnd w:id="1"/>
    </w:p>
    <w:p>
      <w:pPr>
        <w:pStyle w:val="Heading2"/>
        <w:numPr>
          <w:ilvl w:val="1"/>
          <w:numId w:val="1"/>
        </w:numPr>
        <w:rPr/>
      </w:pPr>
      <w:bookmarkStart w:id="2" w:name="pg2016_28868"/>
      <w:bookmarkStart w:id="3" w:name="__RefHeading___Toc4081902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م‍ج‍ي‍د،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اهل‌بيت عليهم‌السلام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اهل‌البيت عليهم‌السلام في‌القرآن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مجيد معارف؛ ترجمه عبدالرضا شالچيان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‫‭978-964-540-444-2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شالچيان، عبدالرضا،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 ‭</w:t>
      </w:r>
      <w:r>
        <w:rPr>
          <w:rFonts w:eastAsia="IRNazanin" w:cs="IRNazanin"/>
          <w:color w:val="111111"/>
          <w:sz w:val="28"/>
          <w:szCs w:val="28"/>
          <w:lang w:bidi="fa-IR"/>
        </w:rPr>
        <w:t>/</w:t>
      </w:r>
      <w:r>
        <w:rPr>
          <w:rFonts w:ascii="IRNazanin" w:hAnsi="IRNazanin" w:eastAsia="IRNazanin"/>
          <w:color w:val="111111"/>
          <w:sz w:val="28"/>
          <w:sz w:val="28"/>
          <w:szCs w:val="28"/>
          <w:lang w:bidi="fa-IR"/>
        </w:rPr>
        <w:t>خ۲‏</w:t>
      </w:r>
      <w:r>
        <w:rPr>
          <w:rFonts w:ascii="IRNazanin" w:hAnsi="IRNazanin" w:eastAsia="IRNazanin"/>
          <w:color w:val="111111"/>
          <w:sz w:val="28"/>
          <w:sz w:val="28"/>
          <w:szCs w:val="28"/>
          <w:lang w:bidi="fa-IR"/>
        </w:rPr>
        <w:t>‫‭م۵۶۰۴۳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۳۱۶۰۶۰۹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1904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6_28872"/>
      <w:bookmarkStart w:id="8" w:name="pg2016_28872"/>
      <w:bookmarkEnd w:id="8"/>
    </w:p>
    <w:p>
      <w:pPr>
        <w:pStyle w:val="Heading2"/>
        <w:numPr>
          <w:ilvl w:val="1"/>
          <w:numId w:val="1"/>
        </w:numPr>
        <w:rPr/>
      </w:pPr>
      <w:bookmarkStart w:id="9" w:name="pg2016_28872"/>
      <w:bookmarkStart w:id="10" w:name="__RefHeading___Toc4081906_3650668749"/>
      <w:bookmarkStart w:id="11" w:name="_Toc3"/>
      <w:bookmarkEnd w:id="9"/>
      <w:bookmarkEnd w:id="10"/>
      <w:r>
        <w:rPr>
          <w:rtl w:val="true"/>
        </w:rPr>
        <w:t>ديباجه</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الذين أذهب عنهم الرّجس وطهّرهم تطهيراً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 أحاديثه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مراراً وتكراراً أنّ السبيل الوحيد لصَون الأمّة الإسلامية من الانحراف والزّيغ هو تمسّك أفرادها بالثّقليْن، ولذلك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بتفسير الثّقل الأكبر وبيان مقوّماته بل أوضح للمسلمين كافّة خصائص الثّقل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والمتمثّل بعترته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لهم ملامحه وأشارَ إلى فضائل آل بَيته ومناقبهم، فسارع علماء الأمّة إلى تأليف الكُتب وتصنيف الرّسائل ذاكرين فيها فضائل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وآثارهم القيّمة فازدانت خزانة الكتب الإسلامية </w:t>
      </w:r>
    </w:p>
    <w:p>
      <w:pPr>
        <w:pStyle w:val="BookText"/>
        <w:rPr/>
      </w:pPr>
      <w:r>
        <w:rPr>
          <w:rFonts w:ascii="IRNazanin" w:hAnsi="IRNazanin" w:eastAsia="IRNazanin"/>
          <w:color w:val="111111"/>
          <w:sz w:val="28"/>
          <w:sz w:val="28"/>
          <w:szCs w:val="28"/>
          <w:rtl w:val="true"/>
          <w:lang w:bidi="fa-IR"/>
        </w:rPr>
        <w:t>بوجودها على رفوفها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الصفحات التالية من هذا الكتاب يسعى الباحث الدكتور مجيد معارف إلى تقديم شرح إجمالي عن هذه الفضائل وتلك المناقب في ضوء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آملين أن يزرع هذا العمل الألفة والمودة في نفوس المسلمين وقلوبهم تجاه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w:t>
      </w:r>
      <w:bookmarkStart w:id="12" w:name="pg2016_28874"/>
    </w:p>
    <w:p>
      <w:pPr>
        <w:pStyle w:val="Heading2"/>
        <w:numPr>
          <w:ilvl w:val="1"/>
          <w:numId w:val="1"/>
        </w:numPr>
        <w:rPr/>
      </w:pPr>
      <w:bookmarkStart w:id="13" w:name="__RefHeading___Toc4081908_3650668749"/>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يفيد حديث الثقلين الذي اتّفق الشيعة والسنّة على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في الأُمّة أمانتين،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وعترته، وأنه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بالرجوع إليهما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القرآن هُدىً للمتّقين، فممَّا لا يشكّ فيه مسلم؛ لأنّ القرآن هو البيِّنة الخالدة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والهادي الذي لا يضلّ أبداً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هم أهل البيت؟ وما هي شؤونهم من الناحية السياسيّة والمعنويّة، بحيث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القرآن، وعُلِّقت على إرشاداتهم وعلى قيادتهم </w:t>
      </w:r>
    </w:p>
    <w:p>
      <w:pPr>
        <w:pStyle w:val="BookText"/>
        <w:rPr/>
      </w:pPr>
      <w:r>
        <w:rPr>
          <w:rFonts w:ascii="Amiri" w:hAnsi="Amiri" w:eastAsia="Amiri" w:cs="Amiri"/>
          <w:color w:val="111111"/>
          <w:sz w:val="28"/>
          <w:sz w:val="28"/>
          <w:szCs w:val="28"/>
          <w:rtl w:val="true"/>
          <w:lang w:bidi="ar-SA"/>
        </w:rPr>
        <w:t>هداية القرآن؟</w:t>
      </w:r>
    </w:p>
    <w:p>
      <w:pPr>
        <w:pStyle w:val="BookText"/>
        <w:rPr/>
      </w:pPr>
      <w:r>
        <w:rPr>
          <w:rFonts w:ascii="Amiri" w:hAnsi="Amiri" w:eastAsia="Amiri" w:cs="Amiri"/>
          <w:color w:val="111111"/>
          <w:sz w:val="28"/>
          <w:sz w:val="28"/>
          <w:szCs w:val="28"/>
          <w:rtl w:val="true"/>
          <w:lang w:bidi="ar-SA"/>
        </w:rPr>
        <w:t xml:space="preserve">نحاول في هذا الكتاب، بالاستفادة من القرآن الكريم والأخبار المعتبرَة، الواردة في شأن نزول الآيات أو توضيحها أن نضع بين يدي القارئ الكريم معلومات حول مصاديق أهل البيت، وأنْ نوضّح بشكل خاصّ رأي القرآن الكريم حول إمامة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تتّضح أهمّية هذه الأبحاث إلّا إذا أخذنا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تُعدّ أهمّ أصل اعتقاديّ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أئمَّة المذهب لم ترِد في القرآن الكريم</w:t>
      </w:r>
      <w:r>
        <w:rPr>
          <w:rFonts w:eastAsia="Amiri" w:cs="Amiri" w:ascii="Amiri" w:hAnsi="Amiri"/>
          <w:color w:val="111111"/>
          <w:sz w:val="28"/>
          <w:szCs w:val="28"/>
          <w:rtl w:val="true"/>
          <w:lang w:bidi="ar-SA"/>
        </w:rPr>
        <w:t xml:space="preserve">. </w:t>
      </w:r>
      <w:bookmarkStart w:id="15" w:name="pg2016_28876"/>
    </w:p>
    <w:p>
      <w:pPr>
        <w:pStyle w:val="Heading2"/>
        <w:numPr>
          <w:ilvl w:val="1"/>
          <w:numId w:val="1"/>
        </w:numPr>
        <w:rPr/>
      </w:pPr>
      <w:bookmarkStart w:id="16" w:name="__RefHeading___Toc4081910_3650668749"/>
      <w:bookmarkStart w:id="17" w:name="_Toc5"/>
      <w:bookmarkEnd w:id="15"/>
      <w:bookmarkEnd w:id="16"/>
      <w:r>
        <w:rPr>
          <w:rtl w:val="true"/>
        </w:rPr>
        <w:t>خلفية السؤال حول الأئمة</w:t>
      </w:r>
      <w:r>
        <w:rPr>
          <w:rtl w:val="true"/>
        </w:rPr>
        <w:t>:</w:t>
      </w:r>
      <w:bookmarkEnd w:id="17"/>
    </w:p>
    <w:p>
      <w:pPr>
        <w:pStyle w:val="BookText"/>
        <w:rPr/>
      </w:pPr>
      <w:r>
        <w:rPr>
          <w:rFonts w:ascii="Amiri" w:hAnsi="Amiri" w:eastAsia="Amiri" w:cs="Amiri"/>
          <w:color w:val="111111"/>
          <w:sz w:val="28"/>
          <w:sz w:val="28"/>
          <w:szCs w:val="28"/>
          <w:rtl w:val="true"/>
          <w:lang w:bidi="ar-SA"/>
        </w:rPr>
        <w:t xml:space="preserve">يُفهم من بعض الروايات أنّ السؤال عن الإمامة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مطروحاً بين المسلمين في العصور الإسلامية الأولى وفي حياة الأئمّة أنفسهم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w:t>
      </w:r>
    </w:p>
    <w:p>
      <w:pPr>
        <w:pStyle w:val="BookText"/>
        <w:rPr/>
      </w:pPr>
      <w:r>
        <w:rPr>
          <w:rFonts w:ascii="Amiri" w:hAnsi="Amiri" w:eastAsia="Amiri" w:cs="Amiri"/>
          <w:color w:val="111111"/>
          <w:sz w:val="28"/>
          <w:sz w:val="28"/>
          <w:szCs w:val="28"/>
          <w:rtl w:val="true"/>
          <w:lang w:bidi="ar-SA"/>
        </w:rPr>
        <w:t xml:space="preserve">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عليه الزكاة، ولم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في عليّ والحسن والحسين،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بكتاب الله وأهل بيتي، فإنّي سألت الله عزّ وجلّ 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ولن يدخلوكم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يبيِّن مَن أهل بيته، لادّعاها آل فلان وآل فلان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هذا الحديث،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إجابته لسؤال أبي بصير الإشارة إلى موضوع مهمّ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p>
    <w:p>
      <w:pPr>
        <w:pStyle w:val="BookText"/>
        <w:rPr/>
      </w:pPr>
      <w:r>
        <w:rPr>
          <w:rFonts w:ascii="Amiri" w:hAnsi="Amiri" w:eastAsia="Amiri" w:cs="Amiri"/>
          <w:color w:val="111111"/>
          <w:sz w:val="28"/>
          <w:sz w:val="28"/>
          <w:szCs w:val="28"/>
          <w:rtl w:val="true"/>
          <w:lang w:bidi="ar-SA"/>
        </w:rPr>
        <w:t xml:space="preserve">الإجمالية للقرآن من جهة، ولزوم الرجوع إلى التفسير وسُنّة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مجمَلات القرآن من جهة أُخرى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الإجمالية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يجب أن يُلتفت إليها في كلّ العصور، وليس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16_28880"/>
      <w:bookmarkStart w:id="19" w:name="pg2016_28880"/>
      <w:bookmarkEnd w:id="19"/>
    </w:p>
    <w:p>
      <w:pPr>
        <w:pStyle w:val="Heading2"/>
        <w:numPr>
          <w:ilvl w:val="1"/>
          <w:numId w:val="1"/>
        </w:numPr>
        <w:rPr/>
      </w:pPr>
      <w:bookmarkStart w:id="20" w:name="pg2016_28880"/>
      <w:bookmarkStart w:id="21" w:name="__RefHeading___Toc4081912_3650668749"/>
      <w:bookmarkStart w:id="22" w:name="_Toc6"/>
      <w:bookmarkEnd w:id="20"/>
      <w:bookmarkEnd w:id="21"/>
      <w:r>
        <w:rPr>
          <w:rtl w:val="true"/>
        </w:rPr>
        <w:t>الطبيعة الإجمالية للقرآن</w:t>
      </w:r>
      <w:bookmarkEnd w:id="22"/>
    </w:p>
    <w:p>
      <w:pPr>
        <w:pStyle w:val="BookText"/>
        <w:rPr/>
      </w:pPr>
      <w:r>
        <w:rPr>
          <w:rFonts w:ascii="Amiri" w:hAnsi="Amiri" w:eastAsia="Amiri" w:cs="Amiri"/>
          <w:color w:val="111111"/>
          <w:sz w:val="28"/>
          <w:sz w:val="28"/>
          <w:szCs w:val="28"/>
          <w:rtl w:val="true"/>
          <w:lang w:bidi="ar-SA"/>
        </w:rPr>
        <w:t>القرآن كتابٌ تحدّث في الموضوعات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الاعتقاديّة، والأخلاقيّة، والتأريخيّة،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وألْفَت أنظار مخاطبيه إلى مسائل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حديث القرآن في كثير من المجالات عامّ ومجمَل، فيتطلّب تبييناً وتفسيراً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يعدّ هذا نقصاً في القرآن أبداً </w:t>
      </w:r>
      <w:r>
        <w:rPr>
          <w:rStyle w:val="FootnoteAnchor"/>
          <w:rtl w:val="true"/>
        </w:rPr>
        <w:footnoteReference w:id="4"/>
      </w:r>
      <w:r>
        <w:rPr>
          <w:rFonts w:ascii="Amiri" w:hAnsi="Amiri" w:eastAsia="Amiri" w:cs="Amiri"/>
          <w:color w:val="111111"/>
          <w:sz w:val="28"/>
          <w:sz w:val="28"/>
          <w:szCs w:val="28"/>
          <w:rtl w:val="true"/>
          <w:lang w:bidi="ar-SA"/>
        </w:rPr>
        <w:t>؛ لأنّ من غير المتوقَّع من كتاب يشتمل على حقائق وأسرار الوجود كافّة، أنْ يعرض موضوعاته كلّها بشكل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هو أن نعي الخطّة الإلهيّة </w:t>
      </w:r>
    </w:p>
    <w:p>
      <w:pPr>
        <w:pStyle w:val="BookText"/>
        <w:rPr/>
      </w:pPr>
      <w:r>
        <w:rPr>
          <w:rFonts w:ascii="Amiri" w:hAnsi="Amiri" w:eastAsia="Amiri" w:cs="Amiri"/>
          <w:color w:val="111111"/>
          <w:sz w:val="28"/>
          <w:sz w:val="28"/>
          <w:szCs w:val="28"/>
          <w:rtl w:val="true"/>
          <w:lang w:bidi="ar-SA"/>
        </w:rPr>
        <w:t>المرسومة من أجل تبيين حقائق القرآن الكريم وموضوعاته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هذه الخطة كما يكشفها القرآن نفسه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المفسِّر والمبيِّن الأوّل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الواسطة في تبيين القرآن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بشأن النقطة الأُولى، يقول الله تعالى مخاطباً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ويستفاد من هذه الآية، أنّ الله تعالى، إضافةً إلى إنزاله آيات القرآن على رسوله، يوحي إليه أيضاً حقائق أُخرى، تبيّن موضوعات الآيات؛ ولهذا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قد أُوتيت القرآن ومثله معه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بشأن النقطة الثانية،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بتبيين مجملات القرآن بالقول والعمل، فمثلاً في كيفيّة أداء الصلاة، قال لأصحابه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كما </w:t>
      </w:r>
    </w:p>
    <w:p>
      <w:pPr>
        <w:pStyle w:val="BookText"/>
        <w:rPr/>
      </w:pPr>
      <w:r>
        <w:rPr>
          <w:rFonts w:ascii="Amiri" w:hAnsi="Amiri" w:eastAsia="Amiri" w:cs="Amiri"/>
          <w:color w:val="111111"/>
          <w:sz w:val="28"/>
          <w:sz w:val="28"/>
          <w:szCs w:val="28"/>
          <w:rtl w:val="true"/>
          <w:lang w:bidi="ar-SA"/>
        </w:rPr>
        <w:t>رأيتموني أُصلّي</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ففعْل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بحكم تفسير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موارد أُخرى بتوضيح مجمَلات القرآن من خلال أقواله، ونلاحظ نماذج من ذلك في تفاسير الشيعة والسنّة على سواء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مع أصحابه بعض حقائق القرآن في المجالات المختلفة، ومنها السياسيّة والاجتماعيّة التي هي مورد بحثنا في هذا الكتاب</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16_28884"/>
      <w:bookmarkStart w:id="24" w:name="pg2016_28884"/>
      <w:bookmarkEnd w:id="24"/>
    </w:p>
    <w:p>
      <w:pPr>
        <w:pStyle w:val="Heading2"/>
        <w:numPr>
          <w:ilvl w:val="1"/>
          <w:numId w:val="1"/>
        </w:numPr>
        <w:rPr/>
      </w:pPr>
      <w:bookmarkStart w:id="25" w:name="pg2016_28884"/>
      <w:bookmarkStart w:id="26" w:name="__RefHeading___Toc4081914_3650668749"/>
      <w:bookmarkStart w:id="27" w:name="_Toc7"/>
      <w:bookmarkEnd w:id="25"/>
      <w:bookmarkEnd w:id="26"/>
      <w:r>
        <w:rPr>
          <w:rtl w:val="true"/>
        </w:rPr>
        <w:t>المجالات الاجتماعية والسياسية في القرآن الكريم</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الموضوعات التي أولاها القرآن الكريم عناية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القرآن في هذا المجال مسائل متنوّعة في باب الأمر بالمعروف والنهي عن المنكر، والتعاون والاتّحاد والأخوّة والجهاد والإمامة ومناهضة الظلم والدفاع عن المظلوم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وعرّف المسلمين بالفئات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التقسيم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كالمؤمنين والمنافقين وأهل الكتاب والمعاندين؛ والخصائص الاجتماعيّة والنفسيّة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كثيراً من الموضوعات الاجتماعيّة في القرآن تمثِّل ترجمة للتحوّلات السياسيّة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الرسالة، بَيْدَ أنّ أسلوب </w:t>
      </w:r>
    </w:p>
    <w:p>
      <w:pPr>
        <w:pStyle w:val="BookText"/>
        <w:rPr/>
      </w:pPr>
      <w:r>
        <w:rPr>
          <w:rFonts w:ascii="Amiri" w:hAnsi="Amiri" w:eastAsia="Amiri" w:cs="Amiri"/>
          <w:color w:val="111111"/>
          <w:sz w:val="28"/>
          <w:sz w:val="28"/>
          <w:szCs w:val="28"/>
          <w:rtl w:val="true"/>
          <w:lang w:bidi="ar-SA"/>
        </w:rPr>
        <w:t>القرآن في عرض هذه الحوادث، هو طرح الحادثة مع ذكر خصائص الأفراد والاتّجاهات التي كان لها دور في مسير تلك الحادثة من دون أن يتعرّض إلى أسماء أولئك الأشخاص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لا يهتمّ بذكر أسماء الأشخاص وتعريف أبطال الحوادث بقدر اهتمامه بتعريف الحوادث الاجتماعيّة نفسها، كنماذج يمكن أن تتكرَّر ويكون لها شخوص وأبطال آخرون، حتّى أنّه لم يرد في القرآن الكريم سوى أسماء قلائل من المعاصرين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أبولهب، وكان في مورد ذمّ وتعريض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 لم يجرِ في القرآن الكريم ذكر لمعاصري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بنحو مبهم ومجمل، فإنّ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أسباباً لعلّ من أهمِّها كونه يمثِّل هدفاً تربويّاً للقرآن، وكذلك من أجل المحافظة على خلوده وعدم تخصيص آياته بفرد خاصّ وعصر بعينه؛ وهذا ما أشار إليه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الآية إذا نزلت في قوم، ثُمَّ مات أُولئك القوم ماتت الآية لما بقي من القرآن شيء، ولكنّ القرآن يجري أوّله على آخره ما دامت السماوات والأرض، ولكلّ قوم آية </w:t>
      </w:r>
    </w:p>
    <w:p>
      <w:pPr>
        <w:pStyle w:val="BookText"/>
        <w:rPr/>
      </w:pPr>
      <w:r>
        <w:rPr>
          <w:rFonts w:ascii="Amiri" w:hAnsi="Amiri" w:eastAsia="Amiri" w:cs="Amiri"/>
          <w:color w:val="111111"/>
          <w:sz w:val="28"/>
          <w:sz w:val="28"/>
          <w:szCs w:val="28"/>
          <w:rtl w:val="true"/>
          <w:lang w:bidi="ar-SA"/>
        </w:rPr>
        <w:t>يتلونها وهم منها من خير أو شرّ</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إلا أنّ علماء الإسلام ولاسيّما المفسِّري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لم يغفلوا أبداً عن التحرّي لمعرفة الأشخاص والمناسبات التي نزلت فيها الآية أو الآيات؛ 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التعرّف الأفضل على التأريخ الإسلامي، وكذلك معرفة الأفراد والعناصر الذين عايشوا مسيرة التحوّلات المتعلّقة بعصر نزول القرآن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أسّس العلماء علمين في هذا الخصوص تعود جذور كلّ منهما إلى النقل والروايات التأريخيّة؛ يسمّى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مبهمات القرآن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ومهمّته التعريف بالأفراد والشخصيّات التي تضمرها القصص والإخبارات القرآنيّة عن الماضي، وكذلك الحوادث الواقعة في عصر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الآخر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يبحث عن الخلفيّات والأسباب التي كانت وراء نزول الآية أو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التوفّر على مبهمات القرآن ومعرفة أسباب نزول الآيات يعدّ أمراً ضرورياً لمن يريد معرفة جزئيّات وتفاصيل الوقائع التأريخيّة، التي تناولها القرآن الكريم</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16_28888"/>
      <w:bookmarkStart w:id="29" w:name="pg2016_28888"/>
      <w:bookmarkEnd w:id="29"/>
    </w:p>
    <w:p>
      <w:pPr>
        <w:pStyle w:val="Heading2"/>
        <w:numPr>
          <w:ilvl w:val="1"/>
          <w:numId w:val="1"/>
        </w:numPr>
        <w:rPr/>
      </w:pPr>
      <w:bookmarkStart w:id="30" w:name="pg2016_28888"/>
      <w:bookmarkStart w:id="31" w:name="__RefHeading___Toc4081916_3650668749"/>
      <w:bookmarkStart w:id="32" w:name="_Toc8"/>
      <w:bookmarkEnd w:id="30"/>
      <w:bookmarkEnd w:id="31"/>
      <w:r>
        <w:rPr>
          <w:rtl w:val="true"/>
        </w:rPr>
        <w:t xml:space="preserve">أهمية </w:t>
      </w:r>
      <w:r>
        <w:rPr>
          <w:rtl w:val="true"/>
        </w:rPr>
        <w:t>«</w:t>
      </w:r>
      <w:r>
        <w:rPr>
          <w:rtl w:val="true"/>
        </w:rPr>
        <w:t>سبب النزول</w:t>
      </w:r>
      <w:r>
        <w:rPr>
          <w:rtl w:val="true"/>
        </w:rPr>
        <w:t xml:space="preserve">» </w:t>
      </w:r>
      <w:r>
        <w:rPr>
          <w:rtl w:val="true"/>
        </w:rPr>
        <w:t>في فهم الآيات التأريخية</w:t>
      </w:r>
      <w:bookmarkEnd w:id="32"/>
    </w:p>
    <w:p>
      <w:pPr>
        <w:pStyle w:val="BookText"/>
        <w:rPr/>
      </w:pPr>
      <w:r>
        <w:rPr>
          <w:rFonts w:ascii="Amiri" w:hAnsi="Amiri" w:eastAsia="Amiri" w:cs="Amiri"/>
          <w:color w:val="111111"/>
          <w:sz w:val="28"/>
          <w:sz w:val="28"/>
          <w:szCs w:val="28"/>
          <w:rtl w:val="true"/>
          <w:lang w:bidi="ar-SA"/>
        </w:rPr>
        <w:t>يرى المتخصّصون في علوم القرآن أنّ الآيات القرآنيّة تنقسم من حيث ارتباطها بظروف عصر النزول إلى قسمين،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عقيب طرح سؤال أو وقوع حادثة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ابتداءً لهداية الناس، ولم يكن لسؤال أو حادثة مّا دخلٌ في نزولها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ظهور علم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وجود آيات الطائفة الأُولى، وأنّ في القرآن آيات عديدة كان وقوع الحوادث سبباً لنزولها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فإنّ هذه الآيات يمكن أن تكون دليلاً جيّداً في شرح تلك الحوادث، وكذلك معرفة الأفراد والفئات الاجتماعيّة التي عاصرتها، كما أنّ معرفة تلك الحوادث يمكن أن تشكِّل أرضيّة أفضل لفهم مضمون تلك الآيات، وأن تخرجها من حيِّز الرمزيّة والإبهام وطرح المسائل الافتراضيّة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سبب نزول سورة الكوثر، يتبيّن لنا أنّ شخصاً في مكّة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يُعيِّر الرسول ويستهزئ به، ويسمِّيه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 ولد ذَكَر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أدركنا سبب النزول هذا؛ استطعنا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مصداق الكوثر في الآية الكريمة؛ إذ 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الآيات في صدر هذه السورة القصيرة وذيلها غير متناسبة ولا منسجمة مع بعضها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بالرجوع إلى سبب نزول كثير من الآيات الأُخرى أيضاً، يمكن أن نحصل على معرفة خاصّة ببعض شخصيّات وأحداث صدر الإسلام، وكذلك الاصطفافات التي كانت موجودة في ذلك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أنّ بين آيات الطائفة الثانية كذلك، آيات كثيرة وردت في ذيلها 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يتعرّف القارئ من خلالها على المقصود بتلك الآيات من حيث انطباقها على بعض الأفراد أو الأحداث، وإن لم يُذكر لها سبب نزول خاصّ؛ فمثلاً بعد نزول آية التطهير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وتوجّه إلى الله تعالى بالدّعاء لهم، فأفهم الجميع أن لا مصداق لأهل البيت المشمولين بآية التطهير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علم سبب النزول في الفهم الصحيح للقرآن الكريم،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تعريف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فوالله لاتسألوني عن شيء إلّا أخبرتكم، وسلوني عن كتاب الله فوالله ما من آية إلّا وأنا أعلم أبليلٍ نزلت أم بنهار أم في سهل أم في جبل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حديث مشابه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نزلت آية إلّا وقد علمت فيمَ أُنزلت، وأين أُنزلت</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يحظى سبب النزول بكلّ هذه الأهمّية، فإنّه </w:t>
      </w:r>
    </w:p>
    <w:p>
      <w:pPr>
        <w:pStyle w:val="BookText"/>
        <w:rPr/>
      </w:pPr>
      <w:r>
        <w:rPr>
          <w:rFonts w:ascii="Amiri" w:hAnsi="Amiri" w:eastAsia="Amiri" w:cs="Amiri"/>
          <w:color w:val="111111"/>
          <w:sz w:val="28"/>
          <w:sz w:val="28"/>
          <w:szCs w:val="28"/>
          <w:rtl w:val="true"/>
          <w:lang w:bidi="ar-SA"/>
        </w:rPr>
        <w:t>ليس موضوعاً اجتهاديّاً مصحوباً بالحدس والظنّ، بل إنّ معرفة مبهمات القرآن والتوصّل إلى سبب نزول الآيات لا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طريق الرجوع إلى النقل التأريخي المُعتمَد والروايات الصحيحة؛ لأنَّ الوضع والتحريف وجدا طريقهما إلى هذا المجال أيضاً، وأدّيا إلى ظهور مناقب وفضائل مزيَّفة لأشخاص وفئات في التأريخ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استطاع المحقِّقون إضاءة بعض الحقائق المتعلّقة بتأريخ الإسلام بالاستفادة من الأحاديث الواردة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روايات أسباب النزول الصحيحة المنقولة عن الصحابة الذين شهدوا بأنفسهم نزول الآيات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القول إنَّ أهمّ القضايا التأريخيّة في هذا المجال هي معرفة مكانة ومنزلة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33" w:name="pg2016_28892"/>
    </w:p>
    <w:p>
      <w:pPr>
        <w:pStyle w:val="Heading2"/>
        <w:numPr>
          <w:ilvl w:val="1"/>
          <w:numId w:val="1"/>
        </w:numPr>
        <w:rPr/>
      </w:pPr>
      <w:bookmarkStart w:id="34" w:name="__RefHeading___Toc4081918_3650668749"/>
      <w:bookmarkStart w:id="35" w:name="_Toc9"/>
      <w:bookmarkEnd w:id="33"/>
      <w:bookmarkEnd w:id="34"/>
      <w:r>
        <w:rPr>
          <w:rtl w:val="true"/>
        </w:rPr>
        <w:t xml:space="preserve">مكانة أهل البيت </w:t>
      </w:r>
      <w:r>
        <w:rPr>
          <w:rtl w:val="true"/>
        </w:rPr>
        <w:t>(</w:t>
      </w:r>
      <w:r>
        <w:rPr>
          <w:rtl w:val="true"/>
        </w:rPr>
        <w:t>عليهم السلام</w:t>
      </w:r>
      <w:r>
        <w:rPr>
          <w:rtl w:val="true"/>
        </w:rPr>
        <w:t xml:space="preserve">) </w:t>
      </w:r>
      <w:r>
        <w:rPr>
          <w:rtl w:val="true"/>
        </w:rPr>
        <w:t>في القرآن</w:t>
      </w:r>
      <w:bookmarkEnd w:id="35"/>
    </w:p>
    <w:p>
      <w:pPr>
        <w:pStyle w:val="BookText"/>
        <w:rPr/>
      </w:pPr>
      <w:r>
        <w:rPr>
          <w:rFonts w:ascii="Amiri" w:hAnsi="Amiri" w:eastAsia="Amiri" w:cs="Amiri"/>
          <w:color w:val="111111"/>
          <w:sz w:val="28"/>
          <w:sz w:val="28"/>
          <w:szCs w:val="28"/>
          <w:rtl w:val="true"/>
          <w:lang w:bidi="ar-SA"/>
        </w:rPr>
        <w:t xml:space="preserve">لا شكّ بوجود آيات كثيرة في القرآن الكريم تشير إلى شخصيّة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 كما أنَّ هناك آيات عديدة نزلت في أعدائهم ومخالفيهم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مقاصد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تتَّضح إلّا بالرجوع إلى الروايات الصحيحة التي وردت في سبب نزولها، أو ملاحظة التوضيح والتفسير الوارد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حقائق هذه الآيات في ظلّ التأريخ الصحيح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هذا المبنى تكون الآيات المعنيَّة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ووصايته، أو التي تُثبت مقامات وكمالات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حدّ </w:t>
      </w:r>
    </w:p>
    <w:p>
      <w:pPr>
        <w:pStyle w:val="BookText"/>
        <w:rPr/>
      </w:pPr>
      <w:r>
        <w:rPr>
          <w:rFonts w:ascii="Amiri" w:hAnsi="Amiri" w:eastAsia="Amiri" w:cs="Amiri"/>
          <w:color w:val="111111"/>
          <w:sz w:val="28"/>
          <w:sz w:val="28"/>
          <w:szCs w:val="28"/>
          <w:rtl w:val="true"/>
          <w:lang w:bidi="ar-SA"/>
        </w:rPr>
        <w:t xml:space="preserve">الإحصاء، وكما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وفي أحبّائنا، وثلث في عدوّنا</w:t>
      </w:r>
      <w:r>
        <w:rPr>
          <w:rFonts w:eastAsia="Amiri" w:cs="Amiri" w:ascii="Amiri" w:hAnsi="Amiri"/>
          <w:color w:val="111111"/>
          <w:sz w:val="28"/>
          <w:szCs w:val="28"/>
          <w:rtl w:val="true"/>
          <w:lang w:bidi="ar-SA"/>
        </w:rPr>
        <w:t xml:space="preserve">. .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التفاسير،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المعروفة بآية الولاية، أنّ هذه الآية نزلت بعد أنْ 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وهو في حال الصلاة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المعروفة بآية المباهلة،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 نصارى نجران بعليّ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معه أحد سواهم</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آيات كثيرة أُخرى، إذا عرف الباحث تفسيرها أو سبب نزولها، أدرك المكانة السياسيّة والمعنويّة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فبدل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أسماء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موجوداً في القرآن الكريم، وأنَّه تمَّ حذفه نتيجة التحريف، نحن نعتقد أنّ الرجوع إلى التوضيحات أو أسباب النزول الموجودة في كثير من الآيات تبيِّن لنا جيّداً مكانة ومنزلة </w:t>
      </w:r>
      <w:bookmarkStart w:id="36" w:name="pg2016_28894"/>
    </w:p>
    <w:p>
      <w:pPr>
        <w:pStyle w:val="BookText"/>
        <w:rPr/>
      </w:pPr>
      <w:bookmarkEnd w:id="36"/>
      <w:r>
        <w:rPr>
          <w:rFonts w:ascii="Amiri" w:hAnsi="Amiri" w:eastAsia="Amiri" w:cs="Amiri"/>
          <w:color w:val="111111"/>
          <w:sz w:val="28"/>
          <w:sz w:val="28"/>
          <w:szCs w:val="28"/>
          <w:rtl w:val="true"/>
          <w:lang w:bidi="ar-SA"/>
        </w:rPr>
        <w:t xml:space="preserve">أهل البيت النبويّ الطاهر وعلى رأسهم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يريد الشخص دراسة القرآن من دون الاكتراث بالروايات المعتبرة والحوادث التأريخيّة الصحيحة، وهذا بنفسه يعدُّ إحياءً للشعار المضلِّل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نتعرّض في هذه الدراسة إلى بحث الآيات التي يكشف سبب نزولها عن فضيلةٍ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الروايات المعتبرة بعد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إلّا على عليٍّ وأهل‌بيته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2"/>
        <w:numPr>
          <w:ilvl w:val="1"/>
          <w:numId w:val="1"/>
        </w:numPr>
        <w:rPr/>
      </w:pPr>
      <w:bookmarkStart w:id="37" w:name="__RefHeading___Toc4081920_3650668749"/>
      <w:bookmarkStart w:id="38" w:name="_Toc10"/>
      <w:bookmarkEnd w:id="37"/>
      <w:r>
        <w:rPr/>
        <w:t>١</w:t>
      </w:r>
      <w:r>
        <w:rPr>
          <w:rtl w:val="true"/>
        </w:rPr>
        <w:t xml:space="preserve">- </w:t>
      </w:r>
      <w:r>
        <w:rPr>
          <w:rtl w:val="true"/>
        </w:rPr>
        <w:t>التضحية الكبرى إبَّان الهجرة</w:t>
      </w:r>
      <w:bookmarkEnd w:id="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مَرْضَاةِ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نزلت هذه الآية بمناسبة حادثة ليلة المبيت، وهي الليلة التي بات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ليتسنّى له الهجرة هادئ البال من مكّة المكرّمة إلى المدينة المنوّرة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المفسِّرون الشيعة، استناداً إلى الروايات المنقولة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ريحات بعض الصحابة أنَّ نزول الآية أعلاه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روى العيّاشي في تفسيره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وَمِن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نَفْسَهُ ابْتِغَاءَ مَرْضَاةِ اللهِ وَاللهُ رَءُوفٌ بِالْعِبَادِ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همَّ كفّار قريش بقتل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يفتديه بنفسه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أيضاً عن ابن عبّاس أنَّ هذه الآية نزلت بعد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الأكرم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 كثير من علماء السنّة أيضاً نزول آية ليلة المبيت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نقل ابن أبي الحديد عن 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جميع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فسِّرين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بمناسبة مبيت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الإسكافي كذلك أنَّ آية ليلة المبيت لها تناسب خاصّ مع </w:t>
      </w:r>
    </w:p>
    <w:p>
      <w:pPr>
        <w:pStyle w:val="BookText"/>
        <w:rPr/>
      </w:pPr>
      <w:r>
        <w:rPr>
          <w:rFonts w:ascii="Amiri" w:hAnsi="Amiri" w:eastAsia="Amiri" w:cs="Amiri"/>
          <w:color w:val="111111"/>
          <w:sz w:val="28"/>
          <w:sz w:val="28"/>
          <w:szCs w:val="28"/>
          <w:rtl w:val="true"/>
          <w:lang w:bidi="ar-SA"/>
        </w:rPr>
        <w:t>قوله تعالى في الآية الثلاثين 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 ، حيث 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ليلة الهجرة، ومكرهم كان توزيع السيوف على بطون قريش، ومكر الله تعالى هو منام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ابن أبي الحديد، نقلاً عن الإسكافي،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بالتواتر حديث الفراش، فلا فرق بينه وبين ما ذُكر في نصّ الكتاب، ولا يجحده إلّا مجنون أو غير مخالط لأهل الملّة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هذه الفضيلة الاستثنائيّة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صمّم معاوية لاحقاً أن يدفع أربعمائة ألف درهم إلى سمرة بن جندب، ليدَّعي أنّ الآية نزلت في ابن ملجم </w:t>
      </w:r>
      <w:r>
        <w:rPr>
          <w:rStyle w:val="FootnoteAnchor"/>
          <w:rtl w:val="true"/>
        </w:rPr>
        <w:footnoteReference w:id="19"/>
      </w:r>
      <w:r>
        <w:rPr>
          <w:rFonts w:ascii="Amiri" w:hAnsi="Amiri" w:eastAsia="Amiri" w:cs="Amiri"/>
          <w:color w:val="111111"/>
          <w:sz w:val="28"/>
          <w:sz w:val="28"/>
          <w:szCs w:val="28"/>
          <w:rtl w:val="true"/>
          <w:lang w:bidi="ar-SA"/>
        </w:rPr>
        <w:t xml:space="preserve">، وأذعن سمرة لطلب معاوية، ولكن بسبب بُعد الفاصلة الزمنيّة بين نزول الآية واستشهاد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يُضلَّل أحد برواية سمرة، إلّا بعض السُذَّج والجهلَة</w:t>
      </w:r>
      <w:r>
        <w:rPr>
          <w:rFonts w:eastAsia="Amiri" w:cs="Amiri" w:ascii="Amiri" w:hAnsi="Amiri"/>
          <w:color w:val="111111"/>
          <w:sz w:val="28"/>
          <w:szCs w:val="28"/>
          <w:rtl w:val="true"/>
          <w:lang w:bidi="ar-SA"/>
        </w:rPr>
        <w:t xml:space="preserve">. </w:t>
      </w:r>
      <w:bookmarkStart w:id="39" w:name="pg2016_28897"/>
    </w:p>
    <w:p>
      <w:pPr>
        <w:pStyle w:val="Heading2"/>
        <w:numPr>
          <w:ilvl w:val="1"/>
          <w:numId w:val="1"/>
        </w:numPr>
        <w:rPr/>
      </w:pPr>
      <w:bookmarkStart w:id="40" w:name="__RefHeading___Toc4081922_3650668749"/>
      <w:bookmarkStart w:id="41" w:name="_Toc11"/>
      <w:bookmarkEnd w:id="39"/>
      <w:bookmarkEnd w:id="40"/>
      <w:r>
        <w:rPr/>
        <w:t>٢</w:t>
      </w:r>
      <w:r>
        <w:rPr>
          <w:rtl w:val="true"/>
        </w:rPr>
        <w:t xml:space="preserve">- </w:t>
      </w:r>
      <w:r>
        <w:rPr>
          <w:rtl w:val="true"/>
        </w:rPr>
        <w:t>أهل البيت</w:t>
      </w:r>
      <w:r>
        <w:rPr>
          <w:rtl w:val="true"/>
        </w:rPr>
        <w:t xml:space="preserve">: </w:t>
      </w:r>
      <w:r>
        <w:rPr>
          <w:rtl w:val="true"/>
        </w:rPr>
        <w:t>في يوم المباهلة</w:t>
      </w:r>
      <w:bookmarkEnd w:id="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يعود على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المباهلة في الاصطلاح الديني، فتعني التلاعن،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الطرفان المختلفان في قضيّة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لا يقتنع أيّ منهما بأدلّة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يعيِّنانه،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ضرّعان ويبتهلان إلى الله تعالى بأن يفضح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قصّة المباهلة التي حدثت في صدر الإسلام، فهي كالتالي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العاشرة للهجرة، أقبل وفدٌ من نصارى نجران إلى المدينة والتقوا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اللِّقاء طرح زعماء النصارى، القائلون بأُلوهيّة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ولادة المسيح من غير أب، فنزل في جوابهم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w:t>
      </w:r>
    </w:p>
    <w:p>
      <w:pPr>
        <w:pStyle w:val="BookText"/>
        <w:rPr/>
      </w:pPr>
      <w:r>
        <w:rPr>
          <w:rFonts w:ascii="Amiri" w:hAnsi="Amiri" w:eastAsia="Amiri" w:cs="Amiri"/>
          <w:color w:val="111111"/>
          <w:sz w:val="28"/>
          <w:sz w:val="28"/>
          <w:szCs w:val="28"/>
          <w:rtl w:val="true"/>
          <w:lang w:bidi="ar-SA"/>
        </w:rPr>
        <w:t xml:space="preserve">تَكُنْ مِنْ الْمُمْتَرِينَ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هذه الإجابة الصريحة لم يقتنع النصارى، فنزلت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النبيّ إليها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الطرفان أن يحضرا في مكان ما في اليوم التالي، وحضر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ومعه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رأى النصارى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تيقَّنوا الهلاك لو باهلوهم، ولذلك اقترح عليهم كبيرهم أن ينصرفوا عن المباهلة، ورجَّحوا المصالحة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المهمّة في قضيّة المباهلة هي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لنفس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مصداق لأبنائه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محاجَجاتهم مع مخالفيهم بعد ذلك، يسمُّون أنفسهم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استناداً لآية المباهلة، ويفخرون على الآخرين بذلك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المباهلة بالبيان الذي تقدّم، تعدّ من الحوادث القطعيّة والمتواترة في تأريخ الإسلام، التي لم يشكّك في أصل وقوعها أحد، ولا ادّعى أحد ادّعاءً آخر بشأن مَن باهل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bookmarkStart w:id="42" w:name="pg2016_28899"/>
    </w:p>
    <w:p>
      <w:pPr>
        <w:pStyle w:val="BookText"/>
        <w:rPr/>
      </w:pPr>
      <w:bookmarkEnd w:id="42"/>
      <w:r>
        <w:rPr>
          <w:rFonts w:ascii="Amiri" w:hAnsi="Amiri" w:eastAsia="Amiri" w:cs="Amiri"/>
          <w:color w:val="111111"/>
          <w:sz w:val="28"/>
          <w:sz w:val="28"/>
          <w:szCs w:val="28"/>
          <w:rtl w:val="true"/>
          <w:lang w:bidi="ar-SA"/>
        </w:rPr>
        <w:t xml:space="preserve">وهذه الواقعة سجّلتها تفاسير الشيعة والسنّة، وكثير من كتب الحديث لدى الفريقين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4081924_3650668749"/>
      <w:bookmarkStart w:id="44" w:name="_Toc12"/>
      <w:bookmarkEnd w:id="43"/>
      <w:r>
        <w:rPr/>
        <w:t>٣</w:t>
      </w:r>
      <w:r>
        <w:rPr>
          <w:rtl w:val="true"/>
        </w:rPr>
        <w:t xml:space="preserve">- </w:t>
      </w:r>
      <w:r>
        <w:rPr>
          <w:rtl w:val="true"/>
        </w:rPr>
        <w:t>أُولو الأمر من منظار القرآن</w:t>
      </w:r>
      <w:bookmarkEnd w:id="44"/>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الآية الشريفة، وبعد الحديث عن إطاعة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جرى الحديث عن إطاعة المؤمنين لأُولي الأمر، وهي إطاعة مُطلَقة غير مقيَّدة ولا مشروطة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وقع الخلاف بين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فسِّرين، واختلفت كلمات أهل السنَّة في تعيين مصداق أُولي الأمر؛ فاحتملوا الخلفاء الأربعة، والحاكمين السياسيِّين، والقادة </w:t>
      </w:r>
    </w:p>
    <w:p>
      <w:pPr>
        <w:pStyle w:val="BookText"/>
        <w:rPr/>
      </w:pPr>
      <w:r>
        <w:rPr>
          <w:rFonts w:ascii="Amiri" w:hAnsi="Amiri" w:eastAsia="Amiri" w:cs="Amiri"/>
          <w:color w:val="111111"/>
          <w:sz w:val="28"/>
          <w:sz w:val="28"/>
          <w:szCs w:val="28"/>
          <w:rtl w:val="true"/>
          <w:lang w:bidi="ar-SA"/>
        </w:rPr>
        <w:t>العسكريِّين، وعلماء الدِّين، والقضاة، و</w:t>
      </w:r>
      <w:r>
        <w:rPr>
          <w:rFonts w:eastAsia="Amiri" w:cs="Amiri" w:ascii="Amiri" w:hAnsi="Amiri"/>
          <w:color w:val="111111"/>
          <w:sz w:val="28"/>
          <w:szCs w:val="28"/>
          <w:rtl w:val="true"/>
          <w:lang w:bidi="ar-SA"/>
        </w:rPr>
        <w:t xml:space="preserve">. . . </w:t>
      </w:r>
      <w:r>
        <w:rPr>
          <w:rStyle w:val="FootnoteAnchor"/>
          <w:rtl w:val="true"/>
        </w:rPr>
        <w:footnoteReference w:id="21"/>
      </w:r>
      <w:r>
        <w:rPr>
          <w:rFonts w:ascii="Amiri" w:hAnsi="Amiri" w:eastAsia="Amiri" w:cs="Amiri"/>
          <w:color w:val="111111"/>
          <w:sz w:val="28"/>
          <w:sz w:val="28"/>
          <w:szCs w:val="28"/>
          <w:rtl w:val="true"/>
          <w:lang w:bidi="ar-SA"/>
        </w:rPr>
        <w:t>، في حين إنَّ عقيدة مُفسِّري الشيعة واحدة، وهي أنّ أيّاً من المصاديق المذكورة في تفسير أُولي الأمر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 على ذلك أنّ وجوب إطاعة أُولي الأمر قد اقترنت في الآية الكريمة بوجوب إطاعة الله ورسوله بشكل مُطلَق، وأنّه لا مصداق لهم سوى الأئمّة المعصومين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الطبرسي، بعد بيانه الاختلاف الموجود بين مفسِّري العامّة في تعيين أُولي الأمر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أصحابنا، فإنهَّم رووا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 الأمر هم الأئمّة من آل‌محمّد؛ أوجب الله طاعتهم بالإطلاق، كما أوجب طاعته وطاعة رسوله، ولا يجوز أن يوجب الله طاعة أحد على الإطلاق إلّا من ثبتت عصمته، وعُلم أنّ باطنه كظاهره، وأُمن منه الغلط والأمْر بالقبيح؛ وليس ذلك بحاصل في الأُمراء، ولا العلماء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عن أن يأمر بطاعة مَن يعصيه، أو بالانقياد للمختلفين في القول والفعل؛ لأنّه محال أن يطاع </w:t>
      </w:r>
    </w:p>
    <w:p>
      <w:pPr>
        <w:pStyle w:val="BookText"/>
        <w:rPr/>
      </w:pPr>
      <w:r>
        <w:rPr>
          <w:rFonts w:ascii="Amiri" w:hAnsi="Amiri" w:eastAsia="Amiri" w:cs="Amiri"/>
          <w:color w:val="111111"/>
          <w:sz w:val="28"/>
          <w:sz w:val="28"/>
          <w:szCs w:val="28"/>
          <w:rtl w:val="true"/>
          <w:lang w:bidi="ar-SA"/>
        </w:rPr>
        <w:t>المختلفون، كما أنّه محال أن يجتمع ما اختلفوا فيه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من علماء المدرسة السُنّية، يعتقد بأنّ وجود العصمة هو لازم الإطاعة المطلَقة لأُولي الأمر، إلّا أنّه في النتيجة التي انتهى إليها في تشخيص المصداق، لم يُصبْ الحقيقة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روايات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بوضوح مصداق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في كتابه الحديثي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فسَّر ذلك لهم، ونزلت عليه الزكاة ولم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bookmarkStart w:id="45" w:name="pg2016_28902"/>
    </w:p>
    <w:p>
      <w:pPr>
        <w:pStyle w:val="BookText"/>
        <w:rPr/>
      </w:pPr>
      <w:bookmarkEnd w:id="45"/>
      <w:r>
        <w:rPr>
          <w:rFonts w:ascii="Amiri" w:hAnsi="Amiri" w:eastAsia="Amiri" w:cs="Amiri"/>
          <w:color w:val="111111"/>
          <w:sz w:val="28"/>
          <w:sz w:val="28"/>
          <w:szCs w:val="28"/>
          <w:rtl w:val="true"/>
          <w:lang w:bidi="ar-SA"/>
        </w:rPr>
        <w:t xml:space="preserve">الذي فسَّر ذلك لهم، ونزلت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ونزلت في عليٍّ والحسن والحسين،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أُوصيكم بكتاب الله وأهل بيتي، فإنّي سألت الله عزّ وجل أنْ لا يُفرّق بينهما حتّى يوردهما على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ولن يُدخلوكم في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يبيّن مَن أهل بيته، لادّعاها آل فلان وآل فلان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4081926_3650668749"/>
      <w:bookmarkStart w:id="47" w:name="_Toc13"/>
      <w:bookmarkEnd w:id="46"/>
      <w:r>
        <w:rPr/>
        <w:t>۴</w:t>
      </w:r>
      <w:r>
        <w:rPr>
          <w:rtl w:val="true"/>
        </w:rPr>
        <w:t xml:space="preserve">- </w:t>
      </w:r>
      <w:r>
        <w:rPr>
          <w:rtl w:val="true"/>
        </w:rPr>
        <w:t>كمال الدِّين في ظلِّ الولاية</w:t>
      </w:r>
      <w:bookmarkEnd w:id="47"/>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نزلت هذه الآية بفترة قليلة بعد حادثة الغدير، والمقارنة </w:t>
      </w:r>
    </w:p>
    <w:p>
      <w:pPr>
        <w:pStyle w:val="BookText"/>
        <w:rPr/>
      </w:pPr>
      <w:r>
        <w:rPr>
          <w:rFonts w:ascii="Amiri" w:hAnsi="Amiri" w:eastAsia="Amiri" w:cs="Amiri"/>
          <w:color w:val="111111"/>
          <w:sz w:val="28"/>
          <w:sz w:val="28"/>
          <w:szCs w:val="28"/>
          <w:rtl w:val="true"/>
          <w:lang w:bidi="ar-SA"/>
        </w:rPr>
        <w:t>بين هذه الآية وبين مؤدَّى آية التبليغ تشهد بهذه الحقيقة؛ لأنَّ في آية التبليغ جرى الحديث عن تبليغ رسالة الله تعالى وأمره، وحذَّر من أنَّه بعدم هذا التبليغ يظلّ الدِّين ناقصاً، وأنَّ عدم التبليغ يعدل عدم تبليغ الرسالة كلِّها، وتحدَّثت الآية عن إكمال الدِّين وإتمام النعمة الإلهيّة؛ ومن ثمَّ فبين هذين الموضوعين علاقة دقيقة لا تخفى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فمفسِّرو الشيعة بشكل عامّ وكذلك عدَّة من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السنّة أقرّوا هذه العلاقة وصرّحوا بها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يقول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عن الإمامين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أُنزل بعد أن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للأنام، يوم غدير خمّ منصرفه عن حجّة الوداع،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آخر فريضة أنزلها الله تعالى، ثُمَّ لم يُنزل بعدها فريضة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على إكمال الدِّين، وإتمام النعمة، ورضا الربّ برسالتي، وولاية علي بن أبي طالب من بعدي،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عاده،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p>
    <w:p>
      <w:pPr>
        <w:pStyle w:val="BookText"/>
        <w:rPr/>
      </w:pP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أغلب أهل السنّة أنّ آية الإكمال نزلت في حجّة الوداع وفي يوم عرفة، وأنّ نزولها كان بعد بيان مسائل،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آخر أحكام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دائرة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وتحرير بيت الله من مظاهر الشرك وعبادة الأصنام، وبالتالي قطع نفوذ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من هناك، وبعد أن أدّى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مناسك الحجّ، وبسبب هذه الأُمور يئس الكفّار من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مستقبلاً على المسلمين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ثمّة أسباب تدفع للقول إنَّ الاحتمالات المذكورة حول نزول آية الإكمال غير صحيحة، ومن جملة تلك الأسباب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علماء السنّة سلّموا بالعلاقة بين آية الإكمال </w:t>
      </w:r>
    </w:p>
    <w:p>
      <w:pPr>
        <w:pStyle w:val="BookText"/>
        <w:rPr/>
      </w:pPr>
      <w:r>
        <w:rPr>
          <w:rFonts w:ascii="Amiri" w:hAnsi="Amiri" w:eastAsia="Amiri" w:cs="Amiri"/>
          <w:color w:val="111111"/>
          <w:sz w:val="28"/>
          <w:sz w:val="28"/>
          <w:szCs w:val="28"/>
          <w:rtl w:val="true"/>
          <w:lang w:bidi="ar-SA"/>
        </w:rPr>
        <w:t xml:space="preserve">وحادثة غدير خمّ، أو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الاحتمالات في كتبهم؛ بحيث ذكر العلاّمة الأميني ستّة عشر مصدراً من مصادر أهل السنّة في هذا الإطار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الموارد المذكورة كمصاديق لإكمال الدِّين في تفاسير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أحكام حلِّية اللّحوم، وبيان ما أحلّ الله وما حرّم، وتشريع الحجّ، وتحرير البيت الحرام من مظاهر الشرك وعبادة الأصنام،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إمّا أنّها لا تحظى بتلك الأهمّية التي تجعلها ترقى إلى مستوى إكمال الدِّين، أو أنّها من الموارد المتحقّقة أعواماً قبل نزول آية الإكمال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الآية عن إكمال الدِّين، وهذا الموضوع يرتبط باليأس التامّ للكفّار من المسلمين، ولا معنى ليأس الكفّار إلّا قطع نفوذهم وسلطتهم على المسلمين، وهذا الموضوع إنّما يمكن حصوله بعد وضوح وضع القيادة في الأُمّة الإسلاميّة، لاسيما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يعش بعد نزول آية الإكمال أكثر من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يوماً </w:t>
      </w:r>
      <w:r>
        <w:rPr>
          <w:rStyle w:val="FootnoteAnchor"/>
          <w:rtl w:val="true"/>
        </w:rPr>
        <w:footnoteReference w:id="28"/>
      </w:r>
      <w:r>
        <w:rPr>
          <w:rFonts w:ascii="Amiri" w:hAnsi="Amiri" w:eastAsia="Amiri" w:cs="Amiri"/>
          <w:color w:val="111111"/>
          <w:sz w:val="28"/>
          <w:sz w:val="28"/>
          <w:szCs w:val="28"/>
          <w:rtl w:val="true"/>
          <w:lang w:bidi="ar-SA"/>
        </w:rPr>
        <w:t xml:space="preserve">، فلو عرفنا أنّ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طبقاً لبعض الروايات كان في الثاني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من ربيع الأوّل </w:t>
      </w:r>
      <w:r>
        <w:rPr>
          <w:rStyle w:val="FootnoteAnchor"/>
          <w:rtl w:val="true"/>
        </w:rPr>
        <w:footnoteReference w:id="29"/>
      </w:r>
      <w:r>
        <w:rPr>
          <w:rFonts w:ascii="Amiri" w:hAnsi="Amiri" w:eastAsia="Amiri" w:cs="Amiri"/>
          <w:color w:val="111111"/>
          <w:sz w:val="28"/>
          <w:sz w:val="28"/>
          <w:szCs w:val="28"/>
          <w:rtl w:val="true"/>
          <w:lang w:bidi="ar-SA"/>
        </w:rPr>
        <w:t>، نستنتج أنّ آية الإكمال نزلت في الثامن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أكثر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الشيعة، لاسيّما العلاّمة الطباطبائي، نزول آية الإكمال تحقيقاً للوعد الإلهي المذكور في الآية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من سورة النور، ومن المعلوم أنّ هذه الآية تتحدّث عن استخلاف المؤمنين على الأرض، واستقرار الدِّين الإلهي، مقروناً بالأمن للصالحين، والذي تُعدّ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بمثابة مقدّمة لحكومةٍ كهذه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آخر فريضة نزلت </w:t>
      </w:r>
      <w:r>
        <w:rPr>
          <w:rStyle w:val="FootnoteAnchor"/>
          <w:rtl w:val="true"/>
        </w:rPr>
        <w:footnoteReference w:id="31"/>
      </w:r>
      <w:r>
        <w:rPr>
          <w:rFonts w:ascii="Amiri" w:hAnsi="Amiri" w:eastAsia="Amiri" w:cs="Amiri"/>
          <w:color w:val="111111"/>
          <w:sz w:val="28"/>
          <w:sz w:val="28"/>
          <w:szCs w:val="28"/>
          <w:rtl w:val="true"/>
          <w:lang w:bidi="ar-SA"/>
        </w:rPr>
        <w:t>، وصرّحت روايات أُخرى أنّ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bookmarkStart w:id="48" w:name="pg2016_28907"/>
    </w:p>
    <w:p>
      <w:pPr>
        <w:pStyle w:val="BookText"/>
        <w:rPr/>
      </w:pPr>
      <w:bookmarkEnd w:id="48"/>
      <w:r>
        <w:rPr>
          <w:rFonts w:ascii="Amiri" w:hAnsi="Amiri" w:eastAsia="Amiri" w:cs="Amiri"/>
          <w:color w:val="111111"/>
          <w:sz w:val="28"/>
          <w:sz w:val="28"/>
          <w:szCs w:val="28"/>
          <w:rtl w:val="true"/>
          <w:lang w:bidi="ar-SA"/>
        </w:rPr>
        <w:t xml:space="preserve">والزكاة والحجّ والصيام والولاية </w:t>
      </w:r>
      <w:r>
        <w:rPr>
          <w:rStyle w:val="FootnoteAnchor"/>
          <w:rtl w:val="true"/>
        </w:rPr>
        <w:footnoteReference w:id="32"/>
      </w:r>
      <w:r>
        <w:rPr>
          <w:rFonts w:ascii="Amiri" w:hAnsi="Amiri" w:eastAsia="Amiri" w:cs="Amiri"/>
          <w:color w:val="111111"/>
          <w:sz w:val="28"/>
          <w:sz w:val="28"/>
          <w:szCs w:val="28"/>
          <w:rtl w:val="true"/>
          <w:lang w:bidi="ar-SA"/>
        </w:rPr>
        <w:t>، وفي هذه الروايات جميعاً تمَّ التأكيد على أنَّ الولاية هي الأولى والأفضل من بين سائر الفرائض</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4081928_3650668749"/>
      <w:bookmarkStart w:id="50" w:name="_Toc14"/>
      <w:bookmarkEnd w:id="49"/>
      <w:r>
        <w:rPr/>
        <w:t>۵</w:t>
      </w:r>
      <w:r>
        <w:rPr>
          <w:rtl w:val="true"/>
        </w:rPr>
        <w:t xml:space="preserve">- </w:t>
      </w:r>
      <w:r>
        <w:rPr>
          <w:rtl w:val="true"/>
        </w:rPr>
        <w:t>وليّ المؤمنين</w:t>
      </w:r>
      <w:bookmarkEnd w:id="50"/>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تُعرف هذه الآية بآية الولاية، وقد ورد في سبب نزولها، في التفاسير الشيعيّة والسنّية، أنَّ فقيراً دخل المسجد النبويّ وسأل الحاضرين، ولكنّ أحداً لم يلتفت إليه،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الركوع، فأشار إلى الفقير وأفهمه أن يأخذ خاتمه،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صرّحت بعض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w:t>
      </w:r>
    </w:p>
    <w:p>
      <w:pPr>
        <w:pStyle w:val="BookText"/>
        <w:rPr/>
      </w:pPr>
      <w:r>
        <w:rPr>
          <w:rFonts w:ascii="Amiri" w:hAnsi="Amiri" w:eastAsia="Amiri" w:cs="Amiri"/>
          <w:color w:val="111111"/>
          <w:sz w:val="28"/>
          <w:sz w:val="28"/>
          <w:szCs w:val="28"/>
          <w:rtl w:val="true"/>
          <w:lang w:bidi="ar-SA"/>
        </w:rPr>
        <w:t xml:space="preserve">النافلة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ويتهيّأ للصلاة، إذ نزل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فدخل المسجد وسأل عمَّن قام بهذا الإنفاق، وتبيّن أنّه لم يكن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آية الولاية هي من أهمّ الأدلّة التي يستند إليها الشيعة لإثبات أنّ الإمام، بلا فصل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فشروع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الحصر، وذكر ولاية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ولاية الله تعالى، وانحصار مصداقها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 للروايات المعتبرة لدى الشيعة والسنّة، وأخيراً مفهوم الولاية في الآية والتي ليست سوى الإمامة والقيادة، هذه كلّها قرائن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الشيخ الطوسي في تفسير هذه الآية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هذه الآية من الأدلّة الواضحة على إمامة </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فيها أنّه قد ثبت أنّ الولي في الآية بمعنى الأولى والأحقّ، وثبت أيضاً أنّ المعنيّ بقوله والذين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ثبت هذان الأصلان، دلّ على إمامته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طُرحت بعض الأسئلة حول آية الولاية،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يشتغل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بغير مناجاة ربِّه؟</w:t>
      </w:r>
    </w:p>
    <w:p>
      <w:pPr>
        <w:pStyle w:val="BookText"/>
        <w:rPr/>
      </w:pPr>
      <w:r>
        <w:rPr>
          <w:rFonts w:ascii="Amiri" w:hAnsi="Amiri" w:eastAsia="Amiri" w:cs="Amiri"/>
          <w:color w:val="111111"/>
          <w:sz w:val="28"/>
          <w:sz w:val="28"/>
          <w:szCs w:val="28"/>
          <w:rtl w:val="true"/>
          <w:lang w:bidi="ar-SA"/>
        </w:rPr>
        <w:t>ينبغي القول في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حضور السائل في المسجد وطلبه المساعدة من الناس بصورة متكرِّرة، من الطبيعي أن يجذب انتباه أيّ شخص، خاصّة إذا عرفنا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آنذاك يصلِّي النافلة، والإحسان ليس بأقلّ أجراً من الصلوات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الآخر هو هل يصدق على التصدّق بالخاتم عنوان الزكاة؟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آيات القرآن لم تستعمل فيها الزكاة بمفهومها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 والاصطلاحي الرائج الآن، بل وردت هذه الكلمة في القرآن تعبيراً عن أيِّ نوع من الإنفاق </w:t>
      </w:r>
    </w:p>
    <w:p>
      <w:pPr>
        <w:pStyle w:val="BookText"/>
        <w:rPr/>
      </w:pPr>
      <w:r>
        <w:rPr>
          <w:rFonts w:ascii="Amiri" w:hAnsi="Amiri" w:eastAsia="Amiri" w:cs="Amiri"/>
          <w:color w:val="111111"/>
          <w:sz w:val="28"/>
          <w:sz w:val="28"/>
          <w:szCs w:val="28"/>
          <w:rtl w:val="true"/>
          <w:lang w:bidi="ar-SA"/>
        </w:rPr>
        <w:t>والإحسان في سبيل الله تعالى، أمّا الزكاة بالمعنى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الخاصّ، فقد جُعل في السنة التاسعة للهجرة، والآيات الكريمة والأحاديث الشريفة تشهد على هذا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فتعبير الزكاة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وَيُؤْتُونَ الزَّكَاةَ وَهُمْ رَاكِعُونَ ، المقصود منه إحسان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التالي يدور حول ألفاظ الجمع الواردة في الآية، مع الأخذ بنظر الاعتبار أنَّ آية الولاية نزلت خصّيصاً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 المفسّرون هذه المسألة ومنهم 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 رضي الله عنه واللفظ لفظ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على لفظ الجمع وإن كان السبب فيه رجلاً واحداً؛ ليرغب الناس في مثل فعله فينالوا مثل ثوابه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كلام الزمخشري صحيح لا غبار عليه، ولكن لم يحدِّثنا التأريخ أنَّ أحداً بعد الإمام أقدم على هذا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وهو في حال الركوع</w:t>
      </w:r>
      <w:r>
        <w:rPr>
          <w:rFonts w:eastAsia="Amiri" w:cs="Amiri" w:ascii="Amiri" w:hAnsi="Amiri"/>
          <w:color w:val="111111"/>
          <w:sz w:val="28"/>
          <w:szCs w:val="28"/>
          <w:rtl w:val="true"/>
          <w:lang w:bidi="ar-SA"/>
        </w:rPr>
        <w:t xml:space="preserve">. </w:t>
      </w:r>
      <w:bookmarkStart w:id="51" w:name="pg2016_28911"/>
    </w:p>
    <w:p>
      <w:pPr>
        <w:pStyle w:val="Heading2"/>
        <w:numPr>
          <w:ilvl w:val="1"/>
          <w:numId w:val="1"/>
        </w:numPr>
        <w:rPr/>
      </w:pPr>
      <w:bookmarkStart w:id="52" w:name="__RefHeading___Toc4081930_3650668749"/>
      <w:bookmarkStart w:id="53" w:name="_Toc15"/>
      <w:bookmarkEnd w:id="51"/>
      <w:bookmarkEnd w:id="52"/>
      <w:r>
        <w:rPr/>
        <w:t>۶</w:t>
      </w:r>
      <w:r>
        <w:rPr>
          <w:rtl w:val="true"/>
        </w:rPr>
        <w:t xml:space="preserve">- </w:t>
      </w:r>
      <w:r>
        <w:rPr>
          <w:rtl w:val="true"/>
        </w:rPr>
        <w:t>إبلاغ آخر رسالة، تكميل الرسالة</w:t>
      </w:r>
      <w:bookmarkEnd w:id="53"/>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الآية تُعرف بآية التبليغ أو الإبلاغ؛ لقوله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لقد صرّح مفسّرو الشيعة، وكثير من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السنّة أنَّ آية التبليغ نزلت في حجّة الوداع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وبنزول هذه الآية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 ما أورده أكثر هؤلاء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عودة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وقعت في آخر سنة من حياته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عليه ملاك الوحي جبرائيل، في منطقة تسمّى غدير خمّ، وأنزل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 xml:space="preserve">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وبنزول هذه الآية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بالتوقّف، وبعد إقامة صلاة الظهر خطب فيهم خطبةً ذكر فيها هوان الدُّنيا وقُرب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ثُمَّ تلا عليهم حديث الثقلين وأوصاهم بحفظ 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بعدها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يراه الجميع، وسألهم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وأنا مولى المؤمنين، وأولى بهم من أنفسهم، ألا ومَن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ثلاثاً، وقيل أربعاً، ثُمَ‌ّ رفع يديه للدعاء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تقدّمت الجموع زرافات زرافات وبايعوه بإمرة المؤمنين وهنَّؤوه على هذا المنصب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تقدّم أنّ مفاد مَا أُنزِلَ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سوى إعلان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هذا الموضوع قد ذكَّر به الوحيُ غيرُ القرآني </w:t>
      </w:r>
    </w:p>
    <w:p>
      <w:pPr>
        <w:pStyle w:val="BookText"/>
        <w:rPr/>
      </w:pP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روى العيّاشي عن ابن عبّاس وجابر بن عبد الله الأنصاري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محمّداً أن يُنصِّب عليّاً للناس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حابى ابن‌عمِّه، وأن يطعنوا في ذلك عليه،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 فقام رسول الله 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فآية التبليغ أهمّ دليل على إثبات الإمامة المباشرة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بما لا يبقي مجالاً للشكّ لدى طلاّب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كلّه سعى بعض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تحليلات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آية التبليغ عن مفهومها الأصلي والرسالة التي تحملها، فمثلاً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التبليغ نزلت في مكّة، وكلَّفت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يبلِّغ حقائق الإسلام إلى الكفّار والمش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دون أيّ تردّد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هؤلاء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فسّرين يعلمون أنّ سورة المائدة من </w:t>
      </w:r>
    </w:p>
    <w:p>
      <w:pPr>
        <w:pStyle w:val="BookText"/>
        <w:rPr/>
      </w:pPr>
      <w:r>
        <w:rPr>
          <w:rFonts w:ascii="Amiri" w:hAnsi="Amiri" w:eastAsia="Amiri" w:cs="Amiri"/>
          <w:color w:val="111111"/>
          <w:sz w:val="28"/>
          <w:sz w:val="28"/>
          <w:szCs w:val="28"/>
          <w:rtl w:val="true"/>
          <w:lang w:bidi="ar-SA"/>
        </w:rPr>
        <w:t xml:space="preserve">السور المدنيّة التي نزلت أُخريات حياة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القول بمدنيّة آية التبليغ يحظى بشهرة كبيرة في تفاسير أهل السنّة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التبليغ نزلت في المدينة، بيْدَ أنّ الهدف من نزولها حثُّ الرسول على إبلاغ حقائق الوحي إلى اليهود والنصارى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أدري كيف يستقيم هذا القول، مع أنّنا نعلم أنَّ اليهود هُزموا 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شوكتهم في المعارك التي خاضها المسلمون ضدّهم في غزوات بني‌قريظة وخيبر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 النصارى كانوا ضعفاء في الجزيرة العربيّة وفاقدي القدرة على مواجهة المسلمين منذ بداية الدعوة، وأنّ 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مواجهتهم للمسلمين تجلَّت في قضيّة المباهلة التي انسحبوا منها أيضاً ولم تتمّ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ثمَّ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أواخر سنّي عمره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يشعر بقلق من جهة اليهود أو النصارى، ليُطمئنه الوحي ويخبره بأنّ الله عاصمه منهم إذا بلّغ ما كُلِّف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تشكيك أوردوه في المقام، فيعود إلى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يرى جمع من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السنّة أنّ المقصود بالمولى في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المحُبّ والناصر وليس الحاكم والأولى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يرى صاحب تفسير المنار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لحديث غدير خم أيّة دلالة على الإمامة أو الخلافة؛ لأنّ هذا اللفظ لم يرد في القرآن بهذا المعنى، بل المراد من الولاية في حديث الغدير معنيَي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والمودّة الواردين في القرآن الكريم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القول في نقد هذا الرأي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لفظي قابل للحمل على معانٍ متعدِّدة، بيْدَ أنّ القرائن الموجودة في حديث الغدير هي التي تعيِّن المفهوم الحقيقي والمراد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وبعضها كالتالي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آية التبليغ قبل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4" w:name="pg2016_28916"/>
    </w:p>
    <w:p>
      <w:pPr>
        <w:pStyle w:val="BookText"/>
        <w:rPr/>
      </w:pPr>
      <w:bookmarkEnd w:id="54"/>
      <w:r>
        <w:rPr>
          <w:rFonts w:ascii="Amiri" w:hAnsi="Amiri" w:eastAsia="Amiri" w:cs="Amiri"/>
          <w:color w:val="111111"/>
          <w:sz w:val="28"/>
          <w:sz w:val="28"/>
          <w:szCs w:val="28"/>
          <w:rtl w:val="true"/>
          <w:lang w:bidi="ar-SA"/>
        </w:rPr>
        <w:t>للمسلمين بصفته وليّاً بعده، لاسيّما بعد البيان القرآني المشدّد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فَمَا بَلَّغْتَ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بالتوقّف في منطقة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وإعداده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الأرضيّة لطرح موضوع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والإيصاء بحقوق أهل البيت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الإكمال بعد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بواقعة الغدير لإثبات أولويَّته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ذكر الغدير حيّاً في التأريخ الإسلامي، وتعظيم المسلمين له بصفته عيداً كبيراً من الأعياد الإسلاميّة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4081932_3650668749"/>
      <w:bookmarkStart w:id="56" w:name="_Toc16"/>
      <w:bookmarkEnd w:id="55"/>
      <w:r>
        <w:rPr/>
        <w:t>٧</w:t>
      </w:r>
      <w:r>
        <w:rPr>
          <w:rtl w:val="true"/>
        </w:rPr>
        <w:t xml:space="preserve">- </w:t>
      </w:r>
      <w:r>
        <w:rPr>
          <w:rtl w:val="true"/>
        </w:rPr>
        <w:t>مُنادي البراءة من المشركين</w:t>
      </w:r>
      <w:bookmarkEnd w:id="56"/>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الاَكْبَرِ أَنَّ اللهَ بَرِىءٌ مِنَ الْمُشْرِكِينَ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سورة التوبة نزلت دون بسملة ليتجلَّى فيها الغضب الإلهي من المشركين، والآيات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الأُولى </w:t>
      </w:r>
    </w:p>
    <w:p>
      <w:pPr>
        <w:pStyle w:val="BookText"/>
        <w:rPr/>
      </w:pPr>
      <w:r>
        <w:rPr>
          <w:rFonts w:ascii="Amiri" w:hAnsi="Amiri" w:eastAsia="Amiri" w:cs="Amiri"/>
          <w:color w:val="111111"/>
          <w:sz w:val="28"/>
          <w:sz w:val="28"/>
          <w:szCs w:val="28"/>
          <w:rtl w:val="true"/>
          <w:lang w:bidi="ar-SA"/>
        </w:rPr>
        <w:t>في السورة بشكل خاصّ تكشف عن هذه الحقيقة، وتُظهر بصراحة براءة الله ورسوله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نزول هذه الآيات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وأرسله إلى مكّة لكي يتلوها على جمع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ولم يكن أبو بكر قد ابتعد عن المدينة كثيراً، وإذا بجبرائيل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أبي بكر وأمره أن يأخذ منه الآيات ويتوجَّه بها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أبو بكر إلى المدينة وسأل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السبب، وتلقّى الجواب بأنَّ ذلك كان بأمر من الله تعالى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بالنحو الذي شرحناه يقبله أكثر مفسّري أهل السنّة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هؤلاء الأعلام في تفاسيرهم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حضر في جمع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تلا عليهم الآيات الأُولى من سورة التوبة،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بالمهلة التي وضعها الله </w:t>
      </w:r>
    </w:p>
    <w:p>
      <w:pPr>
        <w:pStyle w:val="BookText"/>
        <w:rPr/>
      </w:pPr>
      <w:r>
        <w:rPr>
          <w:rFonts w:ascii="Amiri" w:hAnsi="Amiri" w:eastAsia="Amiri" w:cs="Amiri"/>
          <w:color w:val="111111"/>
          <w:sz w:val="28"/>
          <w:sz w:val="28"/>
          <w:szCs w:val="28"/>
          <w:rtl w:val="true"/>
          <w:lang w:bidi="ar-SA"/>
        </w:rPr>
        <w:t>للمش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وهي أربعة أشهر فقط، يستطيعون خلالها التحرّك بحرّية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مدى خطورة القيام بمثل هذه المهمّة وتبليغ رسالة كهذه وبصورة علنيّة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يحظى بالأهمّية في هذه القضيّة هي القدرة على إنجاز مهمّة كهذه، مهمّة لا يؤدّيها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منه، كما أشارت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حقيقة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ينبغي القول في مقام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أحلافاً كانت تُعقد عادة بين الأفراد والقبائل العربيّة في العهد الجاهلي يُنشئ كلٌّ منها حقوقاً والتزامات على طرفَي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شخصاً خاطب آخر بهذه الجملة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في الحقيقة إنّما يعلن عن اتّصاله الروحي والمعنوي بذلك المخاطَب، ويلتزم الحليفان بناءً على هذه العبارة، بأنْ يقوم كلّ منهما 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الآخر إذا تعرّض للخطر، وأن لا يتخلّى عن كلّ أنواع التضحية والإيثار في سبيله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نعلم فإنّ تعهّداً من هذا القبيل كان يحكم علاقة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نرى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الهجرة ويحميه بنفسه من كيد قريش، ومن هذا المنطلق أيضاً نرى </w:t>
      </w:r>
      <w:bookmarkStart w:id="57" w:name="pg2016_28919"/>
    </w:p>
    <w:p>
      <w:pPr>
        <w:pStyle w:val="BookText"/>
        <w:rPr/>
      </w:pPr>
      <w:bookmarkEnd w:id="57"/>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الحروب التي خاضها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هدفه الأساسي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يغفل عنه أبداً، كما نرى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عليّاً من بين جميع أصحابه وأنصاره أخاً له، ولا يدع فرصةً إلّا ويُعلن خلالها عن حقوق عليّ وأفضليّته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 الاتّحاد الروحي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عبّرت عنه آية المباهلة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جاء الخطاب من الله تعالى في تبليغ البراءة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لإنجاز هذه المهمّة بدلاً من أبي بكر الذي كان قد خرج بها وهو في الطريق، فإنّما كشف للأُمّة عن الشخص الجدير بأن يحلّ محلّه ويؤدِّي عنه في غيابه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4081934_3650668749"/>
      <w:bookmarkStart w:id="59" w:name="_Toc17"/>
      <w:bookmarkEnd w:id="58"/>
      <w:r>
        <w:rPr/>
        <w:t>٨</w:t>
      </w:r>
      <w:r>
        <w:rPr>
          <w:rtl w:val="true"/>
        </w:rPr>
        <w:t xml:space="preserve">- </w:t>
      </w:r>
      <w:r>
        <w:rPr>
          <w:rtl w:val="true"/>
        </w:rPr>
        <w:t>رائد ميادين الإيمان والجهاد</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تُعرف هذه الآية بآية السقاية أو المفاخرة، أمّا شأن نزولها الذي نقله مفسِّرو الشيعة وأغلب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فسّري السنّة فهو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شيبة والعباس يتفاخران، إذ مرَّ بهما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ماذا تفاخران؟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أُوتيت من الفضل ما لم‌يُؤتَ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أُوتيت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لكما يا شيخان فقد أوتيت على صغري ما لم تؤتيا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خر اطيمكما بالسيف حت</w:t>
      </w:r>
    </w:p>
    <w:p>
      <w:pPr>
        <w:pStyle w:val="BookText"/>
        <w:rPr/>
      </w:pPr>
      <w:r>
        <w:rPr>
          <w:rFonts w:ascii="IRNazanin" w:hAnsi="IRNazanin" w:eastAsia="IRNazanin"/>
          <w:color w:val="111111"/>
          <w:sz w:val="28"/>
          <w:sz w:val="28"/>
          <w:szCs w:val="28"/>
          <w:rtl w:val="true"/>
          <w:lang w:bidi="fa-IR"/>
        </w:rPr>
        <w:t>ّى آمنتما بالله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العباس مغضباً يجرّ ذيله 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وراءك يا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يستقبلني به هذا الصبيّ؟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الذي حملك على ما استقبلت به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صدمته بالحقّ أن غلظت له آنفاً، فمَن شاء فليغضب ومَن شاء فليرض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نزل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w:t>
      </w:r>
      <w:bookmarkStart w:id="60" w:name="pg2016_28921"/>
    </w:p>
    <w:p>
      <w:pPr>
        <w:pStyle w:val="BookText"/>
        <w:rPr/>
      </w:pPr>
      <w:bookmarkEnd w:id="60"/>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 ، وعقّب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شاهد تفاخرهما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تقولان، لقد صلَّيت إلى القبلة ستّة أشهر قبل الناس، وأنا صاحب الجهاد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4081936_3650668749"/>
      <w:bookmarkStart w:id="62" w:name="_Toc18"/>
      <w:bookmarkEnd w:id="61"/>
      <w:r>
        <w:rPr/>
        <w:t>٩</w:t>
      </w:r>
      <w:r>
        <w:rPr>
          <w:rtl w:val="true"/>
        </w:rPr>
        <w:t xml:space="preserve">- </w:t>
      </w:r>
      <w:r>
        <w:rPr>
          <w:rtl w:val="true"/>
        </w:rPr>
        <w:t>تعيين الوَصيّ في بداية الدعوة</w:t>
      </w:r>
      <w:bookmarkEnd w:id="62"/>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سرّية واستمرّت </w:t>
      </w:r>
    </w:p>
    <w:p>
      <w:pPr>
        <w:pStyle w:val="BookText"/>
        <w:rPr/>
      </w:pPr>
      <w:r>
        <w:rPr>
          <w:rFonts w:ascii="Amiri" w:hAnsi="Amiri" w:eastAsia="Amiri" w:cs="Amiri"/>
          <w:color w:val="111111"/>
          <w:sz w:val="28"/>
          <w:sz w:val="28"/>
          <w:szCs w:val="28"/>
          <w:rtl w:val="true"/>
          <w:lang w:bidi="ar-SA"/>
        </w:rPr>
        <w:t xml:space="preserve">كذلك لمدّة ثلاث سنوات، وبعد نزول هذه الآية المباركة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عن دعوته وأن يبدأ بعشيرته، فدعاهم إلى ضيافته، وبعد عدّة جلسات فاتحهم بدعوته ودعاهم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يروي الطبري، كبير مؤرِّخي السنّة، قصّة هذه الدعوة، نقلاً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شهد بنفسه وقائعها؛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 أَنْذِرْ عَشِيرَتَكَ الْأَقْرَبِينَ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 وعرفت أنّي متى أُباديهم بهذا الأمر أرى منهم ما أكره، فصمتُّ عليه حتّى جاءني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لنا صاعاً من طعام واجعل عليه رحل شاة واملأ لنا عسّاً من لبن، ثُمَّ اجمع لي بني عبد المطّلب حتّى أُكلّمهم وأُبلّغهم ما أُمرت به، ففعلت ما أمرني به، ثُمَّ دعوتهم له، وهم يومئذ أربعون رجلاً يزيدون رجلاً أو ينقصونه، فيهم أعمامه، أبوطالب وحمزة والعباس وأبو لهب، فلمّا اجتمعوا إليه،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حذية من اللحم فشقّها بأسنانه، 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 لهم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يء حاجة، وما أرى إلّا موضع </w:t>
      </w:r>
    </w:p>
    <w:p>
      <w:pPr>
        <w:pStyle w:val="BookText"/>
        <w:rPr/>
      </w:pP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الذي نفس عليّ بيده، وإن كان الرجل الواحد منهم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حتّى رووا منه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 كان الرجل الواحد منهم ليشرب مثله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فعدّ لنا من الطعام بمثل ما صنعت، ثُمَّ اجمعهم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فجئتهم بذلك العسّ فشربوا حتّى رووا منه جميعاً، 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يوازرني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w:t>
      </w:r>
    </w:p>
    <w:p>
      <w:pPr>
        <w:pStyle w:val="BookText"/>
        <w:rPr/>
      </w:pPr>
      <w:r>
        <w:rPr>
          <w:rFonts w:ascii="Amiri" w:hAnsi="Amiri" w:eastAsia="Amiri" w:cs="Amiri"/>
          <w:color w:val="111111"/>
          <w:sz w:val="28"/>
          <w:sz w:val="28"/>
          <w:szCs w:val="28"/>
          <w:rtl w:val="true"/>
          <w:lang w:bidi="ar-SA"/>
        </w:rPr>
        <w:t>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الحادثة من الحوادث المشهورة، وقد رُوِيت في كتب السنّة بصيغ مختلفة، فقد روى الطبريّ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 بمَ ورثت ابن عمّك دون عمّك؟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ثلاث مرّات، حتّى اشرأبّ الناس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آذانهم،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منهم رهطه، كلّهم يأكل الجذعة ويشرب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حتّى شبعوا وبقي الطعام كما هو كأنه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بغمر فشربوا حتّى رووا وبقي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كأنّه لم‌يمسّ ولم يشربوا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بُعثت إليكم بخاصّة وإلى الناس بعامّة وقد رأيتم من هذا الأمر ما قد رأيتم، فأيّكم يبايعني على أن يكون أخي وصاحبي ووارثي فلم يقم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كان في الثالثة، </w:t>
      </w:r>
      <w:bookmarkStart w:id="63" w:name="pg2016_28925"/>
    </w:p>
    <w:p>
      <w:pPr>
        <w:pStyle w:val="BookText"/>
        <w:rPr/>
      </w:pPr>
      <w:bookmarkEnd w:id="63"/>
      <w:r>
        <w:rPr>
          <w:rFonts w:ascii="Amiri" w:hAnsi="Amiri" w:eastAsia="Amiri" w:cs="Amiri"/>
          <w:color w:val="111111"/>
          <w:sz w:val="28"/>
          <w:sz w:val="28"/>
          <w:szCs w:val="28"/>
          <w:rtl w:val="true"/>
          <w:lang w:bidi="ar-SA"/>
        </w:rPr>
        <w:t>فضرب بيده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بالتأمّل في الرواية التي نقلها الطبري، يمكن أن نستخلص نتيجتين مهمّتين؛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الموضوع حدثاً عابراً ولم‌يحسبوا أنّه سيُكتب له الخلود والبقاء؛ لأنّهم لو كانوا يتوقّعون نجاح الدعوة وانتشارها، لكان من المحتمل جدّاً أن يؤمن كثيرٌ منهم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النظرة المستقبليّة وحفظ المصالح القوميّة والقبليّة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الدعوة ببيان 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بصفته أخاً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وخليفته؛ ولهذا اقترنت الدعوة إلى الإسلام نفسه مع تعريف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الخليفة المستقبلي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2"/>
        <w:numPr>
          <w:ilvl w:val="1"/>
          <w:numId w:val="1"/>
        </w:numPr>
        <w:rPr/>
      </w:pPr>
      <w:bookmarkStart w:id="64" w:name="__RefHeading___Toc4081938_3650668749"/>
      <w:bookmarkStart w:id="65" w:name="_Toc19"/>
      <w:bookmarkEnd w:id="64"/>
      <w:r>
        <w:rPr/>
        <w:t>١٠</w:t>
      </w:r>
      <w:r>
        <w:rPr>
          <w:rtl w:val="true"/>
        </w:rPr>
        <w:t xml:space="preserve"> </w:t>
      </w:r>
      <w:r>
        <w:rPr>
          <w:rtl w:val="true"/>
        </w:rPr>
        <w:t xml:space="preserve">- </w:t>
      </w:r>
      <w:r>
        <w:rPr>
          <w:rtl w:val="true"/>
        </w:rPr>
        <w:t>عصمة أهل البيت</w:t>
      </w:r>
      <w:r>
        <w:rPr>
          <w:rtl w:val="true"/>
        </w:rPr>
        <w:t xml:space="preserve">: </w:t>
      </w:r>
      <w:r>
        <w:rPr>
          <w:rtl w:val="true"/>
        </w:rPr>
        <w:t>في القرآن</w:t>
      </w:r>
      <w:bookmarkEnd w:id="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مفهوم هذه الآية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الرجس الفكري والروحي، وليس الرجس الجسمي والظاهري؛ لأنّ تعلُّق الإرادة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بالتطهير من الرجس، لايعقل أن يكون المقصود منه التطهير من الرجس المادّي الميسور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الكريمة تتحدّث عن إعمال إرادة الله في حقّ جمع خاصّ سمُّوا أهل البيت، والبحث المهمّ في الآية ينصبّ على تعيين مصاديق أهل البيت، ولم يكونوا زمن نزول الآية سوى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يتصوّر البعض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ايضاً؛ لأنَّ الآيات التي سبقت، وكذلك التي تلت آية التطهير تحدّثت عن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فهنّ يشتركن مع سائر مصاديق الآية والشؤون التي تثبتها لهم كالعصمة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التصوّر غير صحيح إطلاقاً؛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كتب أهل السنّة وعن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علي وفاطمة والحسن والحسين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عطاء بن يسار،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وهؤلاء أهل بيتي، اللّهمّ أهلي أحقّ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البخاري، ولم يُخرجه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رواية أُخرى 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يمرّ ببيت فاطمة ستّة أشهر، إذا خرج إلى الفجر،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بهذا التكرار أن يُعلم الجميع أنْ ليس لأهل البيت مصاديق سوى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66" w:name="pg2016_28928"/>
    </w:p>
    <w:p>
      <w:pPr>
        <w:pStyle w:val="Heading2"/>
        <w:numPr>
          <w:ilvl w:val="1"/>
          <w:numId w:val="1"/>
        </w:numPr>
        <w:rPr/>
      </w:pPr>
      <w:bookmarkStart w:id="67" w:name="__RefHeading___Toc4081940_3650668749"/>
      <w:bookmarkStart w:id="68" w:name="_Toc20"/>
      <w:bookmarkEnd w:id="66"/>
      <w:bookmarkEnd w:id="67"/>
      <w:r>
        <w:rPr/>
        <w:t>١١</w:t>
      </w:r>
      <w:r>
        <w:rPr>
          <w:rtl w:val="true"/>
        </w:rPr>
        <w:t xml:space="preserve"> </w:t>
      </w:r>
      <w:r>
        <w:rPr>
          <w:rtl w:val="true"/>
        </w:rPr>
        <w:t xml:space="preserve">- </w:t>
      </w:r>
      <w:r>
        <w:rPr>
          <w:rtl w:val="true"/>
        </w:rPr>
        <w:t>أجر الرسالة</w:t>
      </w:r>
      <w:bookmarkEnd w:id="68"/>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نوضّح المقصود بالآية عبر سؤالين نطرحهما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الأجر على الجهود المضنية التي يبذلونها لهداية البشر؟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طلب الأنبياء الأجر، فهل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قادرون على تقديم أجر الرسالة؟</w:t>
      </w:r>
    </w:p>
    <w:p>
      <w:pPr>
        <w:pStyle w:val="BookText"/>
        <w:rPr/>
      </w:pPr>
      <w:r>
        <w:rPr>
          <w:rFonts w:ascii="Amiri" w:hAnsi="Amiri" w:eastAsia="Amiri" w:cs="Amiri"/>
          <w:color w:val="111111"/>
          <w:sz w:val="28"/>
          <w:sz w:val="28"/>
          <w:szCs w:val="28"/>
          <w:rtl w:val="true"/>
          <w:lang w:bidi="ar-SA"/>
        </w:rPr>
        <w:t>بالعودة إلى القرآن الكريم يظهر أنّ الإجابة عن السؤالين كليهما بالنفي؛ ففي سورة الشعراء حُكي عن خمسة من الأنبياء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الآية بجلاء ليس فقط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لم‌يطلبوا الأجر لاسيّما المادّي، وإنّما أيضاً أنّ الناس ليسوا قادرين على تعويضهم على أتعابهم في تبليغ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آية أُخرى يقول تعالى عن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ترد في القرآن الكريم سوى آية واحدة تدعو الناس لإعطاء الأجر لنبيّهم وهي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 وليس هذا الأجر إلّا المودّة في القربى؛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مصداق القربى في آية الشورى؟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البعض كابن كثير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تنطبق على قريش </w:t>
      </w:r>
      <w:r>
        <w:rPr>
          <w:rStyle w:val="FootnoteAnchor"/>
          <w:rtl w:val="true"/>
        </w:rPr>
        <w:footnoteReference w:id="58"/>
      </w:r>
      <w:r>
        <w:rPr>
          <w:rFonts w:ascii="Amiri" w:hAnsi="Amiri" w:eastAsia="Amiri" w:cs="Amiri"/>
          <w:color w:val="111111"/>
          <w:sz w:val="28"/>
          <w:sz w:val="28"/>
          <w:szCs w:val="28"/>
          <w:rtl w:val="true"/>
          <w:lang w:bidi="ar-SA"/>
        </w:rPr>
        <w:t>، ونقلوا عن ابن عبّاس ما يؤيّد دعواهم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قريش قبيلة ليس لها قرابة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 كثير نفسه فقد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مصدراً وقال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على هذا البلاغ والنصح لكم مالاً تعطونيه، وإنمّا أطلب منكم أن تكفّوا شرّكم عنّي، وتذروني أُبلّغ رسالات ربّي، إنْ لم تنصروني فلا تؤذوني؛ بما </w:t>
      </w:r>
    </w:p>
    <w:p>
      <w:pPr>
        <w:pStyle w:val="BookText"/>
        <w:rPr/>
      </w:pPr>
      <w:r>
        <w:rPr>
          <w:rFonts w:ascii="Amiri" w:hAnsi="Amiri" w:eastAsia="Amiri" w:cs="Amiri"/>
          <w:color w:val="111111"/>
          <w:sz w:val="28"/>
          <w:sz w:val="28"/>
          <w:szCs w:val="28"/>
          <w:rtl w:val="true"/>
          <w:lang w:bidi="ar-SA"/>
        </w:rPr>
        <w:t>بيني وبينكم من القرابة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رأى مفسّرون آخرون كالزمخش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والفخر الرازي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روي عن علي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الناس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أن تكون رابع أربعة أوّل مَن يدخل الجنّة، أنا وأنت والحسن والحسين وأزواجنا عن أيماننا وشمائلنا وذريّتنا خلف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الجنّة على مَن ظلم أهل بيتي وآذاني في عترتي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ملك الموت </w:t>
      </w:r>
    </w:p>
    <w:p>
      <w:pPr>
        <w:pStyle w:val="BookText"/>
        <w:rPr/>
      </w:pPr>
      <w:r>
        <w:rPr>
          <w:rFonts w:ascii="Amiri" w:hAnsi="Amiri" w:eastAsia="Amiri" w:cs="Amiri"/>
          <w:color w:val="111111"/>
          <w:sz w:val="28"/>
          <w:sz w:val="28"/>
          <w:szCs w:val="28"/>
          <w:rtl w:val="true"/>
          <w:lang w:bidi="ar-SA"/>
        </w:rPr>
        <w:t>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 بين 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وقال الفخر الرازي بعد ذكر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الذي رواه صاحب الكشّاف،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يؤول أمرهم إليه، فكلّ مَن كان أمرهم إليه أشدّ وأكمل كانوا هم الآل، ولا شكّ أنّ فاطمة وعليّاً والحسن والحسين كان التعلّق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كالمعلوم بالنقل المتواتر، فوجب أن يكونوا هم الآل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اختلف الناس في الآل،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الأقارب،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حملناه على القرابة فهم الآل، وإن حملناه على الأُمّة الذين </w:t>
      </w:r>
    </w:p>
    <w:p>
      <w:pPr>
        <w:pStyle w:val="BookText"/>
        <w:rPr/>
      </w:pPr>
      <w:r>
        <w:rPr>
          <w:rFonts w:ascii="Amiri" w:hAnsi="Amiri" w:eastAsia="Amiri" w:cs="Amiri"/>
          <w:color w:val="111111"/>
          <w:sz w:val="28"/>
          <w:sz w:val="28"/>
          <w:szCs w:val="28"/>
          <w:rtl w:val="true"/>
          <w:lang w:bidi="ar-SA"/>
        </w:rPr>
        <w:t>قبلوا دعوته، فهم أيضاً آل، فثبت أنّ على جميع التقديرات هم الآل، وأمّا غيرهم، فهل يدخلون تحت لفظ الآل؟ فمختلف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واستدلّ بدليلين آخرين في المقام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 بالنقل المتواتر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يحبّ عليّاً والحسن والحسين، وإذا ثبت ذلك، وجب على كلّ الأُمّة مثله؛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وعلى آل محمّد، وارحم محمّداً وآل محمّد ، وهذا التعظيم لم يوجد في حقِّ غير الآل، فكلّ ذلك يدلّ على أن حبّ آل محمّد واجب</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9" w:name="pg2016_28933"/>
    </w:p>
    <w:p>
      <w:pPr>
        <w:pStyle w:val="Heading2"/>
        <w:numPr>
          <w:ilvl w:val="1"/>
          <w:numId w:val="1"/>
        </w:numPr>
        <w:rPr/>
      </w:pPr>
      <w:bookmarkStart w:id="70" w:name="__RefHeading___Toc4081942_3650668749"/>
      <w:bookmarkStart w:id="71" w:name="_Toc21"/>
      <w:bookmarkEnd w:id="69"/>
      <w:bookmarkEnd w:id="70"/>
      <w:r>
        <w:rPr/>
        <w:t>١٢</w:t>
      </w:r>
      <w:r>
        <w:rPr>
          <w:rtl w:val="true"/>
        </w:rPr>
        <w:t xml:space="preserve"> </w:t>
      </w:r>
      <w:r>
        <w:rPr>
          <w:rtl w:val="true"/>
        </w:rPr>
        <w:t xml:space="preserve">- </w:t>
      </w:r>
      <w:r>
        <w:rPr>
          <w:rtl w:val="true"/>
        </w:rPr>
        <w:t>المَنقبة الخاصّة في الإنفاق الخاصّ</w:t>
      </w:r>
      <w:bookmarkEnd w:id="71"/>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الآية تُعرف بآية النجوى، ويرى أغلب المفسّرين الشيعة والسنّة أنّها نزلت في الأغنياء؛ وذلك أنّهم كانوا 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فيكثرون مناجاته وربّما تأذّى فقراء المؤمنين، فأمر الله سبحانه بالصدقة عند المناجاة، فلمّا رأوا ذلك، انتهوا عن مناجاته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المهمّة في آية النجوى أنّ الشخص الوحيد الذي عمل بها هو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نفسه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 ولا يعمل بها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بعش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دراهم، فكلّما أردت أن أُناجي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فنسختها الآية الأُخرى أَ أَشْفَقْتُمْ أَنْ تُقَدِّمُوا بَيْنَ يَدَيْ نَجْواكُمْ صَدَقاتٍ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 خفَّف الله عن هذه الأمّة، ولم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في أحد </w:t>
      </w:r>
    </w:p>
    <w:p>
      <w:pPr>
        <w:pStyle w:val="BookText"/>
        <w:rPr/>
      </w:pPr>
      <w:r>
        <w:rPr>
          <w:rFonts w:ascii="Amiri" w:hAnsi="Amiri" w:eastAsia="Amiri" w:cs="Amiri"/>
          <w:color w:val="111111"/>
          <w:sz w:val="28"/>
          <w:sz w:val="28"/>
          <w:szCs w:val="28"/>
          <w:rtl w:val="true"/>
          <w:lang w:bidi="ar-SA"/>
        </w:rPr>
        <w:t>قبلي، ولم ينزل في أحد بعدي</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فحسب هذا الحديث يكون العمل بآية النجوى من الفضائل والمناقب الخاصّة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ركه فيها أحد، ولم تكن هذه المنقبة خافية على سائر الصحابة منذ نزول الآية، فقد روى أكثر مفسّري أهل السنّة عن عبدالله بن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لو كانت لي واحدة منهنّ، لكانت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وإعطاؤه الراية يوم خيبر، وآية النجوى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نرى أنّ طائفة من متعصّبي السنّة حاولوا أن يقلّلوا من قيمة هذه الفضيلة؛ فمثلاً ادّعى بعضهم أنّ كبار الصحابة لم يُقدموا على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لم يروا حاجة لذلك، أو لم تكن لديهم الفرصة الكافية، أو خافوا أن يكون هذا سبباً لتألّم الفقراء الذين لا يستطيعون القيام بمثله، ومن ثَمَّ فهذا </w:t>
      </w:r>
    </w:p>
    <w:p>
      <w:pPr>
        <w:pStyle w:val="BookText"/>
        <w:rPr/>
      </w:pPr>
      <w:r>
        <w:rPr>
          <w:rFonts w:ascii="Amiri" w:hAnsi="Amiri" w:eastAsia="Amiri" w:cs="Amiri"/>
          <w:color w:val="111111"/>
          <w:sz w:val="28"/>
          <w:sz w:val="28"/>
          <w:szCs w:val="28"/>
          <w:rtl w:val="true"/>
          <w:lang w:bidi="ar-SA"/>
        </w:rPr>
        <w:t>الأمر لم يوجب فضيلة لعليّ ولا سلبها عن غيره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يبدو أنّ هؤلاء المتعصّبين أعماهم تعصّبهم عن النظر إلى الآية الثانية التي أعقبت هذه الآية حيث يلوم الله الصحابة ويعنّفهم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w:t>
      </w:r>
      <w:r>
        <w:rPr>
          <w:rStyle w:val="FootnoteAnchor"/>
          <w:rtl w:val="true"/>
        </w:rPr>
        <w:footnoteReference w:id="66"/>
      </w:r>
      <w:r>
        <w:rPr>
          <w:rFonts w:ascii="Amiri" w:hAnsi="Amiri" w:eastAsia="Amiri" w:cs="Amiri"/>
          <w:color w:val="111111"/>
          <w:sz w:val="28"/>
          <w:sz w:val="28"/>
          <w:szCs w:val="28"/>
          <w:rtl w:val="true"/>
          <w:lang w:bidi="ar-SA"/>
        </w:rPr>
        <w:t xml:space="preserve">، ثُمَّ يدعوهم إلى التوبة، وهذا يدلِّل على أنّ تقديم الصدقة بين يدي نجوى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محموداً وإلّا لما احتاج تركه إلى التوبيخ والتوبة</w:t>
      </w:r>
      <w:r>
        <w:rPr>
          <w:rFonts w:eastAsia="Amiri" w:cs="Amiri" w:ascii="Amiri" w:hAnsi="Amiri"/>
          <w:color w:val="111111"/>
          <w:sz w:val="28"/>
          <w:szCs w:val="28"/>
          <w:rtl w:val="true"/>
          <w:lang w:bidi="ar-SA"/>
        </w:rPr>
        <w:t>.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فلسفة عمل الإمام بآية النجوى، فهي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مكانة خاصّة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بسبب هذه المكانة حضر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ونهل من فيض علومه؛ وكما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فبسبب هذه المكانة الخاصّة التي امتاز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يحدث انقطاع في اللِّقاء بينهما بنزول آية النجوى، </w:t>
      </w:r>
      <w:bookmarkStart w:id="72" w:name="pg2016_28936"/>
    </w:p>
    <w:p>
      <w:pPr>
        <w:pStyle w:val="BookText"/>
        <w:rPr/>
      </w:pPr>
      <w:bookmarkEnd w:id="72"/>
      <w:r>
        <w:rPr>
          <w:rFonts w:ascii="Amiri" w:hAnsi="Amiri" w:eastAsia="Amiri" w:cs="Amiri"/>
          <w:color w:val="111111"/>
          <w:sz w:val="28"/>
          <w:sz w:val="28"/>
          <w:szCs w:val="28"/>
          <w:rtl w:val="true"/>
          <w:lang w:bidi="ar-SA"/>
        </w:rPr>
        <w:t xml:space="preserve">وبادر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بما تأمر به الآية؛ شوقاً للقاء 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2"/>
        <w:numPr>
          <w:ilvl w:val="1"/>
          <w:numId w:val="1"/>
        </w:numPr>
        <w:rPr/>
      </w:pPr>
      <w:bookmarkStart w:id="73" w:name="__RefHeading___Toc4081944_3650668749"/>
      <w:bookmarkStart w:id="74" w:name="_Toc22"/>
      <w:bookmarkEnd w:id="73"/>
      <w:r>
        <w:rPr/>
        <w:t>١٣</w:t>
      </w:r>
      <w:r>
        <w:rPr>
          <w:rtl w:val="true"/>
        </w:rPr>
        <w:t xml:space="preserve"> </w:t>
      </w:r>
      <w:r>
        <w:rPr>
          <w:rtl w:val="true"/>
        </w:rPr>
        <w:t xml:space="preserve">- </w:t>
      </w:r>
      <w:r>
        <w:rPr>
          <w:rtl w:val="true"/>
        </w:rPr>
        <w:t>عظمة الإيثار</w:t>
      </w:r>
      <w:bookmarkEnd w:id="74"/>
    </w:p>
    <w:p>
      <w:pPr>
        <w:pStyle w:val="BookText"/>
        <w:rPr/>
      </w:pP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تتحدّث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 عن تعظيم طائفة من أبرار الأُمّة تصفهم بأنّهم يوفون النذر، وأنّهم يقدّمون طعامهم للمسكين واليتيم والأسير، رغم حبّهم له وحاجتهم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أسئلة في مجال هذه الآيات تُثار لدى كلّ متتبّع،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الأبرار؟ وماذا يقول التأريخ الصحيح والروايات المعتبرة في هذا الخصوص؟</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النذر الذي نذره هؤلاء الأبرار؟ وكيف وفوا به؟</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ومتى تحقّق هذا النذر؟ وعمَّ تتحدّث هذه الآيات، أعن قضيّة خارجيّة أم حادثة فرضيّة وخياليّة؟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نرجع إلى التأريخ للحصول على الإجابة عن هذه التساؤلات، نرى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هؤلاء الأبرار ليسوا سوى علي وفاطمة والحسنين وخادمتهم 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موضوع النذر هو صيام ثلاثة أيّام إثر مرض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أشار عليهم بهذا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شُفي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أُولئك الأبرار مشقّة صيام هذه الأيّام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هذا النذر حصل في المدينة المنوّرة وفي أُخريات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في غروب اليوم الأوّل من هذه الأيّام طرق عليهم الباب سائل مسكين، ولم يكن لديهم سوى الطعام البسيط الذي أعدّوه لإفطارهم فقدّموه له وأفطروا بالماء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الثاني طرق الباب يتيم فآثروه بطعامهم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الثالث طرق الباب أسير وتكرّر منهم الإيثار نفسه، فخلّد الله تعالى هذه الواقعة وأنزل فيهم الآيات إِنَّ الأبْرَارَ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وليس كما يزعم البعض أنَّ القصّة فرضيّة وخياليّة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5" w:name="pg2016_28938"/>
    </w:p>
    <w:p>
      <w:pPr>
        <w:pStyle w:val="BookText"/>
        <w:rPr/>
      </w:pPr>
      <w:bookmarkEnd w:id="75"/>
      <w:r>
        <w:rPr>
          <w:rFonts w:ascii="Amiri" w:hAnsi="Amiri" w:eastAsia="Amiri" w:cs="Amiri"/>
          <w:color w:val="111111"/>
          <w:sz w:val="28"/>
          <w:sz w:val="28"/>
          <w:szCs w:val="28"/>
          <w:rtl w:val="true"/>
          <w:lang w:bidi="ar-SA"/>
        </w:rPr>
        <w:t>وقد ذكر هذا الموضوع أغلب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السنّة </w:t>
      </w:r>
      <w:r>
        <w:rPr>
          <w:rStyle w:val="FootnoteAnchor"/>
          <w:rtl w:val="true"/>
        </w:rPr>
        <w:footnoteReference w:id="70"/>
      </w:r>
      <w:r>
        <w:rPr>
          <w:rFonts w:ascii="Amiri" w:hAnsi="Amiri" w:eastAsia="Amiri" w:cs="Amiri"/>
          <w:color w:val="111111"/>
          <w:sz w:val="28"/>
          <w:sz w:val="28"/>
          <w:szCs w:val="28"/>
          <w:rtl w:val="true"/>
          <w:lang w:bidi="ar-SA"/>
        </w:rPr>
        <w:t xml:space="preserve">، كما استدلّ أعلام الشيعة كالشيخ الطبرسي </w:t>
      </w:r>
      <w:r>
        <w:rPr>
          <w:rStyle w:val="FootnoteAnchor"/>
          <w:rtl w:val="true"/>
        </w:rPr>
        <w:footnoteReference w:id="71"/>
      </w:r>
      <w:r>
        <w:rPr>
          <w:rFonts w:ascii="Amiri" w:hAnsi="Amiri" w:eastAsia="Amiri" w:cs="Amiri"/>
          <w:color w:val="111111"/>
          <w:sz w:val="28"/>
          <w:sz w:val="28"/>
          <w:szCs w:val="28"/>
          <w:rtl w:val="true"/>
          <w:lang w:bidi="ar-SA"/>
        </w:rPr>
        <w:t>والعلاّمة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Style w:val="FootnoteAnchor"/>
          <w:rtl w:val="true"/>
        </w:rPr>
        <w:footnoteReference w:id="72"/>
      </w:r>
      <w:r>
        <w:rPr>
          <w:rFonts w:ascii="Amiri" w:hAnsi="Amiri" w:eastAsia="Amiri" w:cs="Amiri"/>
          <w:color w:val="111111"/>
          <w:sz w:val="28"/>
          <w:sz w:val="28"/>
          <w:szCs w:val="28"/>
          <w:rtl w:val="true"/>
          <w:lang w:bidi="ar-SA"/>
        </w:rPr>
        <w:t xml:space="preserve">والعلاّمة الأميني </w:t>
      </w:r>
      <w:r>
        <w:rPr>
          <w:rStyle w:val="FootnoteAnchor"/>
          <w:rtl w:val="true"/>
        </w:rPr>
        <w:footnoteReference w:id="73"/>
      </w:r>
      <w:r>
        <w:rPr>
          <w:rFonts w:ascii="Amiri" w:hAnsi="Amiri" w:eastAsia="Amiri" w:cs="Amiri"/>
          <w:color w:val="111111"/>
          <w:sz w:val="28"/>
          <w:sz w:val="28"/>
          <w:szCs w:val="28"/>
          <w:rtl w:val="true"/>
          <w:lang w:bidi="ar-SA"/>
        </w:rPr>
        <w:t xml:space="preserve">والعلاّمة الطباطبائي </w:t>
      </w:r>
      <w:r>
        <w:rPr>
          <w:rStyle w:val="FootnoteAnchor"/>
          <w:rtl w:val="true"/>
        </w:rPr>
        <w:footnoteReference w:id="74"/>
      </w:r>
      <w:r>
        <w:rPr>
          <w:rFonts w:ascii="Amiri" w:hAnsi="Amiri" w:eastAsia="Amiri" w:cs="Amiri"/>
          <w:color w:val="111111"/>
          <w:sz w:val="28"/>
          <w:sz w:val="28"/>
          <w:szCs w:val="28"/>
          <w:rtl w:val="true"/>
          <w:lang w:bidi="ar-SA"/>
        </w:rPr>
        <w:t>بأدلَّة محكمة على صحّة هذه الواقعة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4081946_3650668749"/>
      <w:bookmarkStart w:id="77" w:name="_Toc23"/>
      <w:bookmarkEnd w:id="76"/>
      <w:r>
        <w:rPr/>
        <w:t>١۴</w:t>
      </w:r>
      <w:r>
        <w:rPr>
          <w:rtl w:val="true"/>
        </w:rPr>
        <w:t xml:space="preserve"> </w:t>
      </w:r>
      <w:r>
        <w:rPr>
          <w:rtl w:val="true"/>
        </w:rPr>
        <w:t xml:space="preserve">- </w:t>
      </w:r>
      <w:r>
        <w:rPr>
          <w:rtl w:val="true"/>
        </w:rPr>
        <w:t>خير البريّة</w:t>
      </w:r>
      <w:bookmarkEnd w:id="77"/>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الروايات الملحوظة في كتب الشيعة وكثير من تفاسير أهل السنّة هم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عند نزول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جابر بن عبد الله الأنصاري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نفسي بيده إنَّ هذا وشيعته لهم الفائزون يوم القيامة، ونزلت إِنَّ الَّذِينَ آمَنُوا وَ عَمِلُوا الصَّالِحاتِ أُولئِكَ هُمْ خَيْرُ الْبَرِيَّةِ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نُقلت الروايات المتعلّقة بآية خير البريّة، وانطباقها على عليٍّ وشيعته عن كثير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وحذيفة وعائشة، ويتّضح من التحقيق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خير الخلق بعد النبيّ ممَّن عاصروه، وأنّ أحداً لم يصل إلى منزلته من الفضل والتقوى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يتّضح أنّ تعبير الشيعة وإطلاقه على أتباع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 لأوّل مرّة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شاعَ تدريجيّاً وصار علماً على كلّ الذين شايعوا عليّاً واتّبعوا نهجه وآمنوا بإمامته التي نصّبه فيها ونصّ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في يوم الغدير</w:t>
      </w:r>
      <w:r>
        <w:rPr>
          <w:rFonts w:eastAsia="Amiri" w:cs="Amiri" w:ascii="Amiri" w:hAnsi="Amiri"/>
          <w:color w:val="111111"/>
          <w:sz w:val="28"/>
          <w:szCs w:val="28"/>
          <w:rtl w:val="true"/>
          <w:lang w:bidi="ar-SA"/>
        </w:rPr>
        <w:t xml:space="preserve">. </w:t>
      </w:r>
      <w:bookmarkStart w:id="78" w:name="pg2016_28940"/>
    </w:p>
    <w:p>
      <w:pPr>
        <w:pStyle w:val="Heading2"/>
        <w:numPr>
          <w:ilvl w:val="1"/>
          <w:numId w:val="1"/>
        </w:numPr>
        <w:rPr/>
      </w:pPr>
      <w:bookmarkStart w:id="79" w:name="__RefHeading___Toc4081948_3650668749"/>
      <w:bookmarkStart w:id="80" w:name="_Toc24"/>
      <w:bookmarkEnd w:id="78"/>
      <w:bookmarkEnd w:id="79"/>
      <w:r>
        <w:rPr/>
        <w:t>١۵</w:t>
      </w:r>
      <w:r>
        <w:rPr>
          <w:rtl w:val="true"/>
        </w:rPr>
        <w:t xml:space="preserve"> </w:t>
      </w:r>
      <w:r>
        <w:rPr>
          <w:rtl w:val="true"/>
        </w:rPr>
        <w:t xml:space="preserve">- </w:t>
      </w:r>
      <w:r>
        <w:rPr>
          <w:rtl w:val="true"/>
        </w:rPr>
        <w:t>كوثر الرسالة والعقب المبارك</w:t>
      </w:r>
      <w:bookmarkEnd w:id="80"/>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الطبرسي في شأن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السورة في العاص ابن وائل السهمي؛ وذلك 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المسجد، فالتقيا عند باب بني سهم، وتحدّثا وأناس من صناديد قريش جلوس في المسجد، فلمّا دخل العاص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كنت تتحدّث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توفِّي قبل ذلك عبدالله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مَن ليس له ابن أبتر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ذلك أكثر مفسّري الشيعة والسنّة في كتبهم، وإنْ كان ثَمَّة اختلاف كبير في تفسير الكوثر، فلا شكّ في أنّ للكوثر بمعنى الخير الكثير مصاديق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والعلم الكثير ونهرٌ في الجنّة والنبوّة والذرّيّة ومقام الشفاعة،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يمكن أنْ يعدّ كلّ منها مصداقاً للكوثر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 أنّه يمكن القول، مع الالتفات إلى شأن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المشركين شنؤوا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وفاة أولاده الذكور ووصفوه بالأبتر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ردَّ هذه النسبة إلى الذين وصفوه بها، وعدّ ما أعطى نبيّه هو الكوثر والخير الكثير، وأمر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لله تعالى، ويقدِّم له القربان شكراً على هذه النعمة العظيمة، ومع الأخذ بنظر الاعتبار أنَّ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أمراً متحقِّقاً؛ فإنّ سورة الكوثر المباركة تتضمّن إخبارَين غيبيَّين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أعطى نبيّه خيراً كثيراً وذرّية مباركة، بحيث لا يكون أبتر وعديم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الأبتر وعديم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الوعدين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وأنّ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طريق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انتشرت في كلّ أرجاء المعمورة، أمّا أعداؤه وشانئوه، فإمّا أنّه لم يبقَ لنسلهم أثر، أو أنّهم مجهولون غير معروفين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مفسّري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كثيرة في مصداق الكوثر، ثُمَّ قوّى أحدها،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يقولون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مات الذكور من أولاده بتر، فلمّا </w:t>
      </w:r>
    </w:p>
    <w:p>
      <w:pPr>
        <w:pStyle w:val="BookText"/>
        <w:rPr/>
      </w:pPr>
      <w:r>
        <w:rPr>
          <w:rFonts w:ascii="Amiri" w:hAnsi="Amiri" w:eastAsia="Amiri" w:cs="Amiri"/>
          <w:color w:val="111111"/>
          <w:sz w:val="28"/>
          <w:sz w:val="28"/>
          <w:szCs w:val="28"/>
          <w:rtl w:val="true"/>
          <w:lang w:bidi="ar-SA"/>
        </w:rPr>
        <w:t xml:space="preserve">مات ابنه القاسم وعبدالله بمكّة، وإبراهيم بالمدينة؛ قالوا بتر، فليس له مَن يقوم مقامه، ثُمَّ إنّه تعالى بيَّن أنّ عدوه هو الموصوف بهذه الصفة، فإنّا نرى أنّ نسل أولئك الكفرة قد انقطع، ونسله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يزداد وينمو، وهكذا يكون إلى قيام القيامة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يسعنا إلّا أن نذكِّر أنَّ في القرآن الكريم آيات أُخرى كثيرة، يرشدنا شأن نزولها، أنَّ مصداقها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حيث توخّينا رعاية الإيجاز والاختصار في هذا الكتاب، اكتفينا بذكر خمسة عشر مورداً، وبوسع الراغبين بالمزيد مراجعة التفاسير الروائيّة، أو الكتب التخصّصيّة التي عُنيت بجميع الآيات النازلة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على الطبيعة الإجماليّة للقرآن، وفي الوقت نفسه عدم عدّ ذلك نقيصة، لاسيما عن طريق الرجوع إلى العالمين بمعارف القرآن، وهم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النوع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نور الثقلين،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وكذلك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٧۶٢</w:t>
      </w:r>
      <w:r>
        <w:rPr>
          <w:rFonts w:ascii="IRNazanin" w:hAnsi="IRNazanin" w:eastAsia="IRNazanin"/>
          <w:b w:val="false"/>
          <w:b w:val="false"/>
          <w:bCs w:val="false"/>
          <w:i w:val="false"/>
          <w:i w:val="false"/>
          <w:iCs w:val="false"/>
          <w:color w:val="333333"/>
          <w:sz w:val="20"/>
          <w:sz w:val="20"/>
          <w:szCs w:val="20"/>
          <w:rtl w:val="true"/>
        </w:rPr>
        <w:t>؛ تفسير 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تفسير القرآن العظيم،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وصحيح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۵٢۴</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تفسير المراغي،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معالم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وتفسير القرآن العظيم،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نور الثقلين،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۵٠٧</w:t>
      </w:r>
      <w:r>
        <w:rPr>
          <w:rFonts w:ascii="IRNazanin" w:hAnsi="IRNazanin" w:eastAsia="IRNazanin"/>
          <w:b w:val="false"/>
          <w:b w:val="false"/>
          <w:bCs w:val="false"/>
          <w:i w:val="false"/>
          <w:i w:val="false"/>
          <w:iCs w:val="false"/>
          <w:color w:val="333333"/>
          <w:sz w:val="20"/>
          <w:sz w:val="20"/>
          <w:szCs w:val="20"/>
          <w:rtl w:val="true"/>
        </w:rPr>
        <w:t>؛ وتفسير الصافي،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تفسير التبيان،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والغدير،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وتفسير المراغي،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ملحق </w:t>
      </w:r>
      <w:r>
        <w:rPr>
          <w:rFonts w:ascii="IRNazanin" w:hAnsi="IRNazanin" w:eastAsia="IRNazanin"/>
          <w:b w:val="false"/>
          <w:b w:val="false"/>
          <w:bCs w:val="false"/>
          <w:i w:val="false"/>
          <w:i w:val="false"/>
          <w:iCs w:val="false"/>
          <w:color w:val="333333"/>
          <w:sz w:val="20"/>
          <w:sz w:val="20"/>
          <w:szCs w:val="20"/>
        </w:rPr>
        <w:t>۶٢٧</w:t>
      </w:r>
      <w:r>
        <w:rPr>
          <w:rFonts w:ascii="IRNazanin" w:hAnsi="IRNazanin" w:eastAsia="IRNazanin"/>
          <w:b w:val="false"/>
          <w:b w:val="false"/>
          <w:bCs w:val="false"/>
          <w:i w:val="false"/>
          <w:i w:val="false"/>
          <w:iCs w:val="false"/>
          <w:color w:val="333333"/>
          <w:sz w:val="20"/>
          <w:sz w:val="20"/>
          <w:szCs w:val="20"/>
          <w:rtl w:val="true"/>
        </w:rPr>
        <w:t xml:space="preserve"> آية الإكمال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۶٣۶</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تفسير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التفسير الأمثل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۶۴٩</w:t>
      </w:r>
      <w:r>
        <w:rPr>
          <w:rFonts w:ascii="IRNazanin" w:hAnsi="IRNazanin" w:eastAsia="IRNazanin"/>
          <w:b w:val="false"/>
          <w:b w:val="false"/>
          <w:bCs w:val="false"/>
          <w:i w:val="false"/>
          <w:i w:val="false"/>
          <w:iCs w:val="false"/>
          <w:color w:val="333333"/>
          <w:sz w:val="20"/>
          <w:sz w:val="20"/>
          <w:szCs w:val="20"/>
          <w:rtl w:val="true"/>
        </w:rPr>
        <w:t>؛ معالم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وكذلك بحارالأنوار، ج</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عن عمّار بن ياسر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وانظر أيضاً إلى استدلال العلاّمة المجلسي في بحارالأنوار، ج</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وانظر الكافي،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٣۶٢</w:t>
      </w:r>
      <w:r>
        <w:rPr>
          <w:rFonts w:ascii="IRNazanin" w:hAnsi="IRNazanin" w:eastAsia="IRNazanin"/>
          <w:b w:val="false"/>
          <w:b w:val="false"/>
          <w:bCs w:val="false"/>
          <w:i w:val="false"/>
          <w:i w:val="false"/>
          <w:iCs w:val="false"/>
          <w:color w:val="333333"/>
          <w:sz w:val="20"/>
          <w:sz w:val="20"/>
          <w:szCs w:val="20"/>
          <w:rtl w:val="true"/>
        </w:rPr>
        <w:t>؛ التبيان،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الصافي،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غرائب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۶١۶</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سيرة المصطفى، ص</w:t>
      </w:r>
      <w:r>
        <w:rPr>
          <w:rFonts w:ascii="IRNazanin" w:hAnsi="IRNazanin" w:eastAsia="IRNazanin"/>
          <w:b w:val="false"/>
          <w:b w:val="false"/>
          <w:bCs w:val="false"/>
          <w:i w:val="false"/>
          <w:i w:val="false"/>
          <w:iCs w:val="false"/>
          <w:color w:val="333333"/>
          <w:sz w:val="20"/>
          <w:sz w:val="20"/>
          <w:szCs w:val="20"/>
        </w:rPr>
        <w:t>۶٩٣</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ascii="IRNazanin" w:hAnsi="IRNazanin" w:eastAsia="IRNazanin"/>
          <w:b w:val="false"/>
          <w:b w:val="false"/>
          <w:bCs w:val="false"/>
          <w:i w:val="false"/>
          <w:i w:val="false"/>
          <w:iCs w:val="false"/>
          <w:color w:val="333333"/>
          <w:sz w:val="20"/>
          <w:sz w:val="20"/>
          <w:szCs w:val="20"/>
          <w:rtl w:val="true"/>
        </w:rPr>
        <w:t>، عن الحاكم الحسكاني في شواهد التنزيل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 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البحر المحيط،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البحر المحيط،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التحرير والتنوير،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في سورة آل عمران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والتفصيل في الغدير،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في نزول سورة براءة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روح المعاني،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التذكاري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منّي وأنا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محمّد باقر البهبودي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نقلاً عن شواهد التنزيل؛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أسباب النزول، الواحدي، ذيل الآية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من سورة التوبة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وكذلك مجمع البيان،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عن لسان نوح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عن لسان هود</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عن لسان صالح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عن لسان لوط</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عن لسان شعيب</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جامع البيان، ج</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معالم التنزيل،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مجمع البيان،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معالم التنزيل،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التفسير الأمثل،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كالقرطبي في جامع الأحكام وأبي حيّان التوحيدي في البحر المحيط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۶٧٠</w:t>
      </w:r>
      <w:r>
        <w:rPr>
          <w:rFonts w:ascii="IRNazanin" w:hAnsi="IRNazanin" w:eastAsia="IRNazanin"/>
          <w:b w:val="false"/>
          <w:b w:val="false"/>
          <w:bCs w:val="false"/>
          <w:i w:val="false"/>
          <w:i w:val="false"/>
          <w:iCs w:val="false"/>
          <w:color w:val="333333"/>
          <w:sz w:val="20"/>
          <w:sz w:val="20"/>
          <w:szCs w:val="20"/>
          <w:rtl w:val="true"/>
        </w:rPr>
        <w:t>؛ مفاتيح الغيب،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فتح القدير،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أنوار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نزول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الميزان،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٧۵٨</w:t>
      </w:r>
      <w:r>
        <w:rPr>
          <w:rFonts w:ascii="IRNazanin" w:hAnsi="IRNazanin" w:eastAsia="IRNazanin"/>
          <w:b w:val="false"/>
          <w:b w:val="false"/>
          <w:bCs w:val="false"/>
          <w:i w:val="false"/>
          <w:i w:val="false"/>
          <w:iCs w:val="false"/>
          <w:color w:val="333333"/>
          <w:sz w:val="20"/>
          <w:sz w:val="20"/>
          <w:szCs w:val="20"/>
          <w:rtl w:val="true"/>
        </w:rPr>
        <w:t>؛ المراجعات،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وكذلك بعض قسم التعليقات،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السيّد شرف الدِّين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بررسي شخصيّت أهل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روش قرآن به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شخصيّة أهل البيت في القرآن وفق منهج تفسير القرآن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للدكتور ولي الله نقي پور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10090</Words>
  <Characters>43634</Characters>
  <CharactersWithSpaces>53326</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2026-08-16T20:22:59Z</dcterms:created>
  <dc:creator>ghaemiyeh.com</dc:creator>
  <dc:description/>
  <dc:language>en-US</dc:language>
  <cp:lastModifiedBy/>
  <dcterms:modified xsi:type="dcterms:W3CDTF">2026-08-16T23:53:01Z</dcterms:modified>
  <cp:revision>1</cp:revision>
  <dc:subject/>
  <dc:title>مکانه اهل البیت علیهم السلام فی القرآن</dc:title>
</cp:coreProperties>
</file>

<file path=docProps/custom.xml><?xml version="1.0" encoding="utf-8"?>
<Properties xmlns="http://schemas.openxmlformats.org/officeDocument/2006/custom-properties" xmlns:vt="http://schemas.openxmlformats.org/officeDocument/2006/docPropsVTypes"/>
</file>