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وضوء عبد الله بن عباس و دور السیاسة فی اختلاف النقل عنه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1713_37343814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231715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231717_373438147">
            <w:r>
              <w:rPr>
                <w:webHidden/>
                <w:rStyle w:val="IndexLink"/>
                <w:rtl w:val="true"/>
              </w:rPr>
              <w:t>المقدمة</w:t>
            </w:r>
            <w:r>
              <w:rPr>
                <w:rStyle w:val="IndexLink"/>
                <w:rtl w:val="true"/>
              </w:rPr>
              <w:t>:</w:t>
              <w:tab/>
            </w:r>
            <w:r>
              <w:rPr>
                <w:rStyle w:val="IndexLink"/>
              </w:rPr>
              <w:t>9</w:t>
            </w:r>
          </w:hyperlink>
        </w:p>
        <w:p>
          <w:pPr>
            <w:pStyle w:val="Contents2"/>
            <w:tabs>
              <w:tab w:val="clear" w:pos="8743"/>
              <w:tab w:val="right" w:pos="9026" w:leader="dot"/>
            </w:tabs>
            <w:rPr/>
          </w:pPr>
          <w:hyperlink w:anchor="__RefHeading___Toc3231719_373438147">
            <w:r>
              <w:rPr>
                <w:webHidden/>
                <w:rStyle w:val="IndexLink"/>
                <w:rtl w:val="true"/>
              </w:rPr>
              <w:t>المناقشة السندیة و الدلالیة للروایات الغسلیة</w:t>
            </w:r>
            <w:r>
              <w:rPr>
                <w:rStyle w:val="IndexLink"/>
                <w:rtl w:val="true"/>
              </w:rPr>
              <w:tab/>
            </w:r>
            <w:r>
              <w:rPr>
                <w:rStyle w:val="IndexLink"/>
              </w:rPr>
              <w:t>11</w:t>
            </w:r>
          </w:hyperlink>
        </w:p>
        <w:p>
          <w:pPr>
            <w:pStyle w:val="Contents3"/>
            <w:tabs>
              <w:tab w:val="clear" w:pos="8459"/>
              <w:tab w:val="right" w:pos="9026" w:leader="dot"/>
            </w:tabs>
            <w:rPr/>
          </w:pPr>
          <w:hyperlink w:anchor="__RefHeading___Toc3231721_37343814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3231723_373438147">
            <w:r>
              <w:rPr>
                <w:webHidden/>
                <w:rStyle w:val="IndexLink"/>
                <w:rtl w:val="true"/>
              </w:rPr>
              <w:t>الروایات الغسلیة</w:t>
            </w:r>
            <w:r>
              <w:rPr>
                <w:rStyle w:val="IndexLink"/>
                <w:rtl w:val="true"/>
              </w:rPr>
              <w:tab/>
            </w:r>
            <w:r>
              <w:rPr>
                <w:rStyle w:val="IndexLink"/>
              </w:rPr>
              <w:t>11</w:t>
            </w:r>
          </w:hyperlink>
        </w:p>
        <w:p>
          <w:pPr>
            <w:pStyle w:val="Contents4"/>
            <w:tabs>
              <w:tab w:val="clear" w:pos="8176"/>
              <w:tab w:val="right" w:pos="9026" w:leader="dot"/>
            </w:tabs>
            <w:rPr/>
          </w:pPr>
          <w:hyperlink w:anchor="__RefHeading___Toc3231725_37343814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3231727_373438147">
            <w:r>
              <w:rPr>
                <w:webHidden/>
                <w:rStyle w:val="IndexLink"/>
                <w:rtl w:val="true"/>
              </w:rPr>
              <w:t>المناقشة السندیة</w:t>
            </w:r>
            <w:r>
              <w:rPr>
                <w:rStyle w:val="IndexLink"/>
                <w:rtl w:val="true"/>
              </w:rPr>
              <w:tab/>
            </w:r>
            <w:r>
              <w:rPr>
                <w:rStyle w:val="IndexLink"/>
              </w:rPr>
              <w:t>14</w:t>
            </w:r>
          </w:hyperlink>
        </w:p>
        <w:p>
          <w:pPr>
            <w:pStyle w:val="Contents5"/>
            <w:tabs>
              <w:tab w:val="clear" w:pos="7892"/>
              <w:tab w:val="right" w:pos="9026" w:leader="dot"/>
            </w:tabs>
            <w:rPr/>
          </w:pPr>
          <w:hyperlink w:anchor="__RefHeading___Toc3231729_373438147">
            <w:r>
              <w:rPr>
                <w:webHidden/>
                <w:rStyle w:val="IndexLink"/>
                <w:rtl w:val="true"/>
              </w:rPr>
              <w:t xml:space="preserve">فأمّا الإسناد </w:t>
            </w:r>
            <w:r>
              <w:rPr>
                <w:rStyle w:val="IndexLink"/>
                <w:rtl w:val="true"/>
              </w:rPr>
              <w:t>«</w:t>
            </w:r>
            <w:r>
              <w:rPr>
                <w:rStyle w:val="IndexLink"/>
                <w:rtl w:val="true"/>
              </w:rPr>
              <w:t>أ</w:t>
            </w:r>
            <w:r>
              <w:rPr>
                <w:rStyle w:val="IndexLink"/>
                <w:rtl w:val="true"/>
              </w:rPr>
              <w:t>»</w:t>
              <w:tab/>
            </w:r>
            <w:r>
              <w:rPr>
                <w:rStyle w:val="IndexLink"/>
              </w:rPr>
              <w:t>14</w:t>
            </w:r>
          </w:hyperlink>
        </w:p>
        <w:p>
          <w:pPr>
            <w:pStyle w:val="Contents5"/>
            <w:tabs>
              <w:tab w:val="clear" w:pos="7892"/>
              <w:tab w:val="right" w:pos="9026" w:leader="dot"/>
            </w:tabs>
            <w:rPr/>
          </w:pPr>
          <w:hyperlink w:anchor="__RefHeading___Toc3231731_373438147">
            <w:r>
              <w:rPr>
                <w:webHidden/>
                <w:rStyle w:val="IndexLink"/>
                <w:rtl w:val="true"/>
              </w:rPr>
              <w:t xml:space="preserve">و أمّا الإسناد </w:t>
            </w:r>
            <w:r>
              <w:rPr>
                <w:rStyle w:val="IndexLink"/>
                <w:rtl w:val="true"/>
              </w:rPr>
              <w:t>«</w:t>
            </w:r>
            <w:r>
              <w:rPr>
                <w:rStyle w:val="IndexLink"/>
                <w:rtl w:val="true"/>
              </w:rPr>
              <w:t>ب</w:t>
            </w:r>
            <w:r>
              <w:rPr>
                <w:rStyle w:val="IndexLink"/>
                <w:rtl w:val="true"/>
              </w:rPr>
              <w:t>»</w:t>
              <w:tab/>
            </w:r>
            <w:r>
              <w:rPr>
                <w:rStyle w:val="IndexLink"/>
              </w:rPr>
              <w:t>15</w:t>
            </w:r>
          </w:hyperlink>
        </w:p>
        <w:p>
          <w:pPr>
            <w:pStyle w:val="Contents5"/>
            <w:tabs>
              <w:tab w:val="clear" w:pos="7892"/>
              <w:tab w:val="right" w:pos="9026" w:leader="dot"/>
            </w:tabs>
            <w:rPr/>
          </w:pPr>
          <w:hyperlink w:anchor="__RefHeading___Toc3231733_373438147">
            <w:r>
              <w:rPr>
                <w:webHidden/>
                <w:rStyle w:val="IndexLink"/>
                <w:rtl w:val="true"/>
              </w:rPr>
              <w:t xml:space="preserve">و أمّا الإسناد </w:t>
            </w:r>
            <w:r>
              <w:rPr>
                <w:rStyle w:val="IndexLink"/>
                <w:rtl w:val="true"/>
              </w:rPr>
              <w:t>«</w:t>
            </w:r>
            <w:r>
              <w:rPr>
                <w:rStyle w:val="IndexLink"/>
                <w:rtl w:val="true"/>
              </w:rPr>
              <w:t>ج</w:t>
            </w:r>
            <w:r>
              <w:rPr>
                <w:rStyle w:val="IndexLink"/>
                <w:rtl w:val="true"/>
              </w:rPr>
              <w:t>»</w:t>
              <w:tab/>
            </w:r>
            <w:r>
              <w:rPr>
                <w:rStyle w:val="IndexLink"/>
              </w:rPr>
              <w:t>15</w:t>
            </w:r>
          </w:hyperlink>
        </w:p>
        <w:p>
          <w:pPr>
            <w:pStyle w:val="Contents5"/>
            <w:tabs>
              <w:tab w:val="clear" w:pos="7892"/>
              <w:tab w:val="right" w:pos="9026" w:leader="dot"/>
            </w:tabs>
            <w:rPr/>
          </w:pPr>
          <w:hyperlink w:anchor="__RefHeading___Toc3231735_373438147">
            <w:r>
              <w:rPr>
                <w:webHidden/>
                <w:rStyle w:val="IndexLink"/>
                <w:rtl w:val="true"/>
              </w:rPr>
              <w:t xml:space="preserve">و أمّا الإسناد </w:t>
            </w:r>
            <w:r>
              <w:rPr>
                <w:rStyle w:val="IndexLink"/>
                <w:rtl w:val="true"/>
              </w:rPr>
              <w:t>«</w:t>
            </w:r>
            <w:r>
              <w:rPr>
                <w:rStyle w:val="IndexLink"/>
                <w:rtl w:val="true"/>
              </w:rPr>
              <w:t>د</w:t>
            </w:r>
            <w:r>
              <w:rPr>
                <w:rStyle w:val="IndexLink"/>
                <w:rtl w:val="true"/>
              </w:rPr>
              <w:t>»</w:t>
              <w:tab/>
            </w:r>
            <w:r>
              <w:rPr>
                <w:rStyle w:val="IndexLink"/>
              </w:rPr>
              <w:t>16</w:t>
            </w:r>
          </w:hyperlink>
        </w:p>
        <w:p>
          <w:pPr>
            <w:pStyle w:val="Contents5"/>
            <w:tabs>
              <w:tab w:val="clear" w:pos="7892"/>
              <w:tab w:val="right" w:pos="9026" w:leader="dot"/>
            </w:tabs>
            <w:rPr/>
          </w:pPr>
          <w:hyperlink w:anchor="__RefHeading___Toc3231737_373438147">
            <w:r>
              <w:rPr>
                <w:webHidden/>
                <w:rStyle w:val="IndexLink"/>
                <w:rtl w:val="true"/>
              </w:rPr>
              <w:t>و أمّا الطریق الثانی و سنده</w:t>
            </w:r>
            <w:r>
              <w:rPr>
                <w:rStyle w:val="IndexLink"/>
                <w:rtl w:val="true"/>
              </w:rPr>
              <w:tab/>
            </w:r>
            <w:r>
              <w:rPr>
                <w:rStyle w:val="IndexLink"/>
              </w:rPr>
              <w:t>17</w:t>
            </w:r>
          </w:hyperlink>
        </w:p>
        <w:p>
          <w:pPr>
            <w:pStyle w:val="Contents4"/>
            <w:tabs>
              <w:tab w:val="clear" w:pos="8176"/>
              <w:tab w:val="right" w:pos="9026" w:leader="dot"/>
            </w:tabs>
            <w:rPr/>
          </w:pPr>
          <w:hyperlink w:anchor="__RefHeading___Toc3231739_373438147">
            <w:r>
              <w:rPr>
                <w:webHidden/>
                <w:rStyle w:val="IndexLink"/>
                <w:rtl w:val="true"/>
              </w:rPr>
              <w:t>المناقشة الدلالیة</w:t>
            </w:r>
            <w:r>
              <w:rPr>
                <w:rStyle w:val="IndexLink"/>
                <w:rtl w:val="true"/>
              </w:rPr>
              <w:tab/>
            </w:r>
            <w:r>
              <w:rPr>
                <w:rStyle w:val="IndexLink"/>
              </w:rPr>
              <w:t>18</w:t>
            </w:r>
          </w:hyperlink>
        </w:p>
        <w:p>
          <w:pPr>
            <w:pStyle w:val="Contents2"/>
            <w:tabs>
              <w:tab w:val="clear" w:pos="8743"/>
              <w:tab w:val="right" w:pos="9026" w:leader="dot"/>
            </w:tabs>
            <w:rPr/>
          </w:pPr>
          <w:hyperlink w:anchor="__RefHeading___Toc3231741_373438147">
            <w:r>
              <w:rPr>
                <w:webHidden/>
                <w:rStyle w:val="IndexLink"/>
                <w:rtl w:val="true"/>
              </w:rPr>
              <w:t>المناقشة السندیة و الدلالیة للروایات المسحیة</w:t>
            </w:r>
            <w:r>
              <w:rPr>
                <w:rStyle w:val="IndexLink"/>
                <w:rtl w:val="true"/>
              </w:rPr>
              <w:tab/>
            </w:r>
            <w:r>
              <w:rPr>
                <w:rStyle w:val="IndexLink"/>
              </w:rPr>
              <w:t>25</w:t>
            </w:r>
          </w:hyperlink>
        </w:p>
        <w:p>
          <w:pPr>
            <w:pStyle w:val="Contents3"/>
            <w:tabs>
              <w:tab w:val="clear" w:pos="8459"/>
              <w:tab w:val="right" w:pos="9026" w:leader="dot"/>
            </w:tabs>
            <w:rPr/>
          </w:pPr>
          <w:hyperlink w:anchor="__RefHeading___Toc3231743_373438147">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3231745_373438147">
            <w:r>
              <w:rPr>
                <w:webHidden/>
                <w:rStyle w:val="IndexLink"/>
                <w:rtl w:val="true"/>
              </w:rPr>
              <w:t>الروایات المسحیة</w:t>
            </w:r>
            <w:r>
              <w:rPr>
                <w:rStyle w:val="IndexLink"/>
                <w:rtl w:val="true"/>
              </w:rPr>
              <w:tab/>
            </w:r>
            <w:r>
              <w:rPr>
                <w:rStyle w:val="IndexLink"/>
              </w:rPr>
              <w:t>25</w:t>
            </w:r>
          </w:hyperlink>
        </w:p>
        <w:p>
          <w:pPr>
            <w:pStyle w:val="Contents4"/>
            <w:tabs>
              <w:tab w:val="clear" w:pos="8176"/>
              <w:tab w:val="right" w:pos="9026" w:leader="dot"/>
            </w:tabs>
            <w:rPr/>
          </w:pPr>
          <w:hyperlink w:anchor="__RefHeading___Toc3231747_373438147">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3231749_373438147">
            <w:r>
              <w:rPr>
                <w:webHidden/>
                <w:rStyle w:val="IndexLink"/>
                <w:rtl w:val="true"/>
              </w:rPr>
              <w:t>المناقشة السندیة</w:t>
            </w:r>
            <w:r>
              <w:rPr>
                <w:rStyle w:val="IndexLink"/>
                <w:rtl w:val="true"/>
              </w:rPr>
              <w:tab/>
            </w:r>
            <w:r>
              <w:rPr>
                <w:rStyle w:val="IndexLink"/>
              </w:rPr>
              <w:t>29</w:t>
            </w:r>
          </w:hyperlink>
        </w:p>
        <w:p>
          <w:pPr>
            <w:pStyle w:val="Contents5"/>
            <w:tabs>
              <w:tab w:val="clear" w:pos="7892"/>
              <w:tab w:val="right" w:pos="9026" w:leader="dot"/>
            </w:tabs>
            <w:rPr/>
          </w:pPr>
          <w:hyperlink w:anchor="__RefHeading___Toc3231751_373438147">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3231753_373438147">
            <w:r>
              <w:rPr>
                <w:webHidden/>
                <w:rStyle w:val="IndexLink"/>
                <w:rtl w:val="true"/>
              </w:rPr>
              <w:t>أمّا الإسناد الأوّل</w:t>
            </w:r>
            <w:r>
              <w:rPr>
                <w:rStyle w:val="IndexLink"/>
                <w:rtl w:val="true"/>
              </w:rPr>
              <w:tab/>
            </w:r>
            <w:r>
              <w:rPr>
                <w:rStyle w:val="IndexLink"/>
              </w:rPr>
              <w:t>29</w:t>
            </w:r>
          </w:hyperlink>
        </w:p>
        <w:p>
          <w:pPr>
            <w:pStyle w:val="Contents5"/>
            <w:tabs>
              <w:tab w:val="clear" w:pos="7892"/>
              <w:tab w:val="right" w:pos="9026" w:leader="dot"/>
            </w:tabs>
            <w:rPr/>
          </w:pPr>
          <w:hyperlink w:anchor="__RefHeading___Toc3231755_373438147">
            <w:r>
              <w:rPr>
                <w:webHidden/>
                <w:rStyle w:val="IndexLink"/>
                <w:rtl w:val="true"/>
              </w:rPr>
              <w:t>و أمّا الإسناد الثانی</w:t>
            </w:r>
            <w:r>
              <w:rPr>
                <w:rStyle w:val="IndexLink"/>
                <w:rtl w:val="true"/>
              </w:rPr>
              <w:tab/>
            </w:r>
            <w:r>
              <w:rPr>
                <w:rStyle w:val="IndexLink"/>
              </w:rPr>
              <w:t>31</w:t>
            </w:r>
          </w:hyperlink>
        </w:p>
        <w:p>
          <w:pPr>
            <w:pStyle w:val="Contents5"/>
            <w:tabs>
              <w:tab w:val="clear" w:pos="7892"/>
              <w:tab w:val="right" w:pos="9026" w:leader="dot"/>
            </w:tabs>
            <w:rPr/>
          </w:pPr>
          <w:hyperlink w:anchor="__RefHeading___Toc3231757_373438147">
            <w:r>
              <w:rPr>
                <w:webHidden/>
                <w:rStyle w:val="IndexLink"/>
                <w:rtl w:val="true"/>
              </w:rPr>
              <w:t>و أمّا الأسانید الخمسة الباقیة</w:t>
            </w:r>
            <w:r>
              <w:rPr>
                <w:rStyle w:val="IndexLink"/>
                <w:rtl w:val="true"/>
              </w:rPr>
              <w:tab/>
            </w:r>
            <w:r>
              <w:rPr>
                <w:rStyle w:val="IndexLink"/>
              </w:rPr>
              <w:t>32</w:t>
            </w:r>
          </w:hyperlink>
        </w:p>
        <w:p>
          <w:pPr>
            <w:pStyle w:val="Contents5"/>
            <w:tabs>
              <w:tab w:val="clear" w:pos="7892"/>
              <w:tab w:val="right" w:pos="9026" w:leader="dot"/>
            </w:tabs>
            <w:rPr/>
          </w:pPr>
          <w:hyperlink w:anchor="__RefHeading___Toc3231759_373438147">
            <w:r>
              <w:rPr>
                <w:webHidden/>
                <w:rStyle w:val="IndexLink"/>
                <w:rtl w:val="true"/>
              </w:rPr>
              <w:t>تصریحات العلماء</w:t>
            </w:r>
            <w:r>
              <w:rPr>
                <w:rStyle w:val="IndexLink"/>
                <w:rtl w:val="true"/>
              </w:rPr>
              <w:t>:</w:t>
              <w:tab/>
            </w:r>
            <w:r>
              <w:rPr>
                <w:rStyle w:val="IndexLink"/>
              </w:rPr>
              <w:t>33</w:t>
            </w:r>
          </w:hyperlink>
        </w:p>
        <w:p>
          <w:pPr>
            <w:pStyle w:val="Contents4"/>
            <w:tabs>
              <w:tab w:val="clear" w:pos="8176"/>
              <w:tab w:val="right" w:pos="9026" w:leader="dot"/>
            </w:tabs>
            <w:rPr/>
          </w:pPr>
          <w:hyperlink w:anchor="__RefHeading___Toc3231761_373438147">
            <w:r>
              <w:rPr>
                <w:webHidden/>
                <w:rStyle w:val="IndexLink"/>
                <w:rtl w:val="true"/>
              </w:rPr>
              <w:t>المناقشة الدلالیة</w:t>
            </w:r>
            <w:r>
              <w:rPr>
                <w:rStyle w:val="IndexLink"/>
                <w:rtl w:val="true"/>
              </w:rPr>
              <w:tab/>
            </w:r>
            <w:r>
              <w:rPr>
                <w:rStyle w:val="IndexLink"/>
              </w:rPr>
              <w:t>35</w:t>
            </w:r>
          </w:hyperlink>
        </w:p>
        <w:p>
          <w:pPr>
            <w:pStyle w:val="Contents2"/>
            <w:tabs>
              <w:tab w:val="clear" w:pos="8743"/>
              <w:tab w:val="right" w:pos="9026" w:leader="dot"/>
            </w:tabs>
            <w:rPr/>
          </w:pPr>
          <w:hyperlink w:anchor="__RefHeading___Toc3231763_373438147">
            <w:r>
              <w:rPr>
                <w:webHidden/>
                <w:rStyle w:val="IndexLink"/>
                <w:rtl w:val="true"/>
              </w:rPr>
              <w:t>نسبة الخبر إلیه</w:t>
            </w:r>
            <w:r>
              <w:rPr>
                <w:rStyle w:val="IndexLink"/>
                <w:rtl w:val="true"/>
              </w:rPr>
              <w:tab/>
            </w:r>
            <w:r>
              <w:rPr>
                <w:rStyle w:val="IndexLink"/>
              </w:rPr>
              <w:t>43</w:t>
            </w:r>
          </w:hyperlink>
        </w:p>
        <w:p>
          <w:pPr>
            <w:pStyle w:val="Contents3"/>
            <w:tabs>
              <w:tab w:val="clear" w:pos="8459"/>
              <w:tab w:val="right" w:pos="9026" w:leader="dot"/>
            </w:tabs>
            <w:rPr/>
          </w:pPr>
          <w:hyperlink w:anchor="__RefHeading___Toc3231765_373438147">
            <w:r>
              <w:rPr>
                <w:webHidden/>
                <w:rStyle w:val="IndexLink"/>
                <w:rtl w:val="true"/>
              </w:rPr>
              <w:t>ظاهرة اختلاف النقل عن الصحابی</w:t>
            </w:r>
            <w:r>
              <w:rPr>
                <w:rStyle w:val="IndexLink"/>
                <w:rtl w:val="true"/>
              </w:rPr>
              <w:tab/>
            </w:r>
            <w:r>
              <w:rPr>
                <w:rStyle w:val="IndexLink"/>
              </w:rPr>
              <w:t>43</w:t>
            </w:r>
          </w:hyperlink>
        </w:p>
        <w:p>
          <w:pPr>
            <w:pStyle w:val="Contents4"/>
            <w:tabs>
              <w:tab w:val="clear" w:pos="8176"/>
              <w:tab w:val="right" w:pos="9026" w:leader="dot"/>
            </w:tabs>
            <w:rPr/>
          </w:pPr>
          <w:hyperlink w:anchor="__RefHeading___Toc3231767_37343814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3231769_373438147">
            <w:r>
              <w:rPr>
                <w:webHidden/>
                <w:rStyle w:val="IndexLink"/>
                <w:rtl w:val="true"/>
              </w:rPr>
              <w:t>نماذج من اختلاف النهجین</w:t>
            </w:r>
            <w:r>
              <w:rPr>
                <w:rStyle w:val="IndexLink"/>
                <w:rtl w:val="true"/>
              </w:rPr>
              <w:tab/>
            </w:r>
            <w:r>
              <w:rPr>
                <w:rStyle w:val="IndexLink"/>
              </w:rPr>
              <w:t>45</w:t>
            </w:r>
          </w:hyperlink>
        </w:p>
        <w:p>
          <w:pPr>
            <w:pStyle w:val="Contents5"/>
            <w:tabs>
              <w:tab w:val="clear" w:pos="7892"/>
              <w:tab w:val="right" w:pos="9026" w:leader="dot"/>
            </w:tabs>
            <w:rPr/>
          </w:pPr>
          <w:hyperlink w:anchor="__RefHeading___Toc3231771_373438147">
            <w:r>
              <w:rPr>
                <w:webHidden/>
                <w:rStyle w:val="IndexLink"/>
              </w:rPr>
              <w:t>1</w:t>
            </w:r>
            <w:r>
              <w:rPr>
                <w:rStyle w:val="IndexLink"/>
                <w:rtl w:val="true"/>
              </w:rPr>
              <w:t xml:space="preserve">- </w:t>
            </w:r>
            <w:r>
              <w:rPr>
                <w:rStyle w:val="IndexLink"/>
                <w:rtl w:val="true"/>
              </w:rPr>
              <w:t>المتعة</w:t>
            </w:r>
            <w:r>
              <w:rPr>
                <w:rStyle w:val="IndexLink"/>
                <w:rtl w:val="true"/>
              </w:rPr>
              <w:tab/>
            </w:r>
            <w:r>
              <w:rPr>
                <w:rStyle w:val="IndexLink"/>
              </w:rPr>
              <w:t>45</w:t>
            </w:r>
          </w:hyperlink>
        </w:p>
        <w:p>
          <w:pPr>
            <w:pStyle w:val="Contents5"/>
            <w:tabs>
              <w:tab w:val="clear" w:pos="7892"/>
              <w:tab w:val="right" w:pos="9026" w:leader="dot"/>
            </w:tabs>
            <w:rPr/>
          </w:pPr>
          <w:hyperlink w:anchor="__RefHeading___Toc3231773_373438147">
            <w:r>
              <w:rPr>
                <w:webHidden/>
                <w:rStyle w:val="IndexLink"/>
              </w:rPr>
              <w:t>2</w:t>
            </w:r>
            <w:r>
              <w:rPr>
                <w:rStyle w:val="IndexLink"/>
                <w:rtl w:val="true"/>
              </w:rPr>
              <w:t xml:space="preserve">- </w:t>
            </w:r>
            <w:r>
              <w:rPr>
                <w:rStyle w:val="IndexLink"/>
                <w:rtl w:val="true"/>
              </w:rPr>
              <w:t>صلاة التراویح</w:t>
            </w:r>
            <w:r>
              <w:rPr>
                <w:rStyle w:val="IndexLink"/>
                <w:rtl w:val="true"/>
              </w:rPr>
              <w:tab/>
            </w:r>
            <w:r>
              <w:rPr>
                <w:rStyle w:val="IndexLink"/>
              </w:rPr>
              <w:t>50</w:t>
            </w:r>
          </w:hyperlink>
        </w:p>
        <w:p>
          <w:pPr>
            <w:pStyle w:val="Contents5"/>
            <w:tabs>
              <w:tab w:val="clear" w:pos="7892"/>
              <w:tab w:val="right" w:pos="9026" w:leader="dot"/>
            </w:tabs>
            <w:rPr/>
          </w:pPr>
          <w:hyperlink w:anchor="__RefHeading___Toc3231775_373438147">
            <w:r>
              <w:rPr>
                <w:webHidden/>
                <w:rStyle w:val="IndexLink"/>
              </w:rPr>
              <w:t>3</w:t>
            </w:r>
            <w:r>
              <w:rPr>
                <w:rStyle w:val="IndexLink"/>
                <w:rtl w:val="true"/>
              </w:rPr>
              <w:t xml:space="preserve">- </w:t>
            </w:r>
            <w:r>
              <w:rPr>
                <w:rStyle w:val="IndexLink"/>
                <w:rtl w:val="true"/>
              </w:rPr>
              <w:t>الصلاة بین الطلوعین و قبل الغروب</w:t>
            </w:r>
            <w:r>
              <w:rPr>
                <w:rStyle w:val="IndexLink"/>
                <w:rtl w:val="true"/>
              </w:rPr>
              <w:tab/>
            </w:r>
            <w:r>
              <w:rPr>
                <w:rStyle w:val="IndexLink"/>
              </w:rPr>
              <w:t>54</w:t>
            </w:r>
          </w:hyperlink>
        </w:p>
        <w:p>
          <w:pPr>
            <w:pStyle w:val="Contents5"/>
            <w:tabs>
              <w:tab w:val="clear" w:pos="7892"/>
              <w:tab w:val="right" w:pos="9026" w:leader="dot"/>
            </w:tabs>
            <w:rPr/>
          </w:pPr>
          <w:hyperlink w:anchor="__RefHeading___Toc3231777_373438147">
            <w:r>
              <w:rPr>
                <w:webHidden/>
                <w:rStyle w:val="IndexLink"/>
              </w:rPr>
              <w:t>4</w:t>
            </w:r>
            <w:r>
              <w:rPr>
                <w:rStyle w:val="IndexLink"/>
                <w:rtl w:val="true"/>
              </w:rPr>
              <w:t xml:space="preserve">- </w:t>
            </w:r>
            <w:r>
              <w:rPr>
                <w:rStyle w:val="IndexLink"/>
                <w:rtl w:val="true"/>
              </w:rPr>
              <w:t>بیع امهات الاولاد</w:t>
            </w:r>
            <w:r>
              <w:rPr>
                <w:rStyle w:val="IndexLink"/>
                <w:rtl w:val="true"/>
              </w:rPr>
              <w:tab/>
            </w:r>
            <w:r>
              <w:rPr>
                <w:rStyle w:val="IndexLink"/>
              </w:rPr>
              <w:t>58</w:t>
            </w:r>
          </w:hyperlink>
        </w:p>
        <w:p>
          <w:pPr>
            <w:pStyle w:val="Contents5"/>
            <w:tabs>
              <w:tab w:val="clear" w:pos="7892"/>
              <w:tab w:val="right" w:pos="9026" w:leader="dot"/>
            </w:tabs>
            <w:rPr/>
          </w:pPr>
          <w:hyperlink w:anchor="__RefHeading___Toc3231779_373438147">
            <w:r>
              <w:rPr>
                <w:webHidden/>
                <w:rStyle w:val="IndexLink"/>
              </w:rPr>
              <w:t>5</w:t>
            </w:r>
            <w:r>
              <w:rPr>
                <w:rStyle w:val="IndexLink"/>
                <w:rtl w:val="true"/>
              </w:rPr>
              <w:t xml:space="preserve">- </w:t>
            </w:r>
            <w:r>
              <w:rPr>
                <w:rStyle w:val="IndexLink"/>
                <w:rtl w:val="true"/>
              </w:rPr>
              <w:t>المسح علی الخفّین</w:t>
            </w:r>
            <w:r>
              <w:rPr>
                <w:rStyle w:val="IndexLink"/>
                <w:rtl w:val="true"/>
              </w:rPr>
              <w:tab/>
            </w:r>
            <w:r>
              <w:rPr>
                <w:rStyle w:val="IndexLink"/>
              </w:rPr>
              <w:t>59</w:t>
            </w:r>
          </w:hyperlink>
        </w:p>
        <w:p>
          <w:pPr>
            <w:pStyle w:val="Contents5"/>
            <w:tabs>
              <w:tab w:val="clear" w:pos="7892"/>
              <w:tab w:val="right" w:pos="9026" w:leader="dot"/>
            </w:tabs>
            <w:rPr/>
          </w:pPr>
          <w:hyperlink w:anchor="__RefHeading___Toc3231781_373438147">
            <w:r>
              <w:rPr>
                <w:webHidden/>
                <w:rStyle w:val="IndexLink"/>
              </w:rPr>
              <w:t>6</w:t>
            </w:r>
            <w:r>
              <w:rPr>
                <w:rStyle w:val="IndexLink"/>
                <w:rtl w:val="true"/>
              </w:rPr>
              <w:t xml:space="preserve">- </w:t>
            </w:r>
            <w:r>
              <w:rPr>
                <w:rStyle w:val="IndexLink"/>
                <w:rtl w:val="true"/>
              </w:rPr>
              <w:t>التکبیرة علی المیت</w:t>
            </w:r>
            <w:r>
              <w:rPr>
                <w:rStyle w:val="IndexLink"/>
                <w:rtl w:val="true"/>
              </w:rPr>
              <w:tab/>
            </w:r>
            <w:r>
              <w:rPr>
                <w:rStyle w:val="IndexLink"/>
              </w:rPr>
              <w:t>65</w:t>
            </w:r>
          </w:hyperlink>
        </w:p>
        <w:p>
          <w:pPr>
            <w:pStyle w:val="Contents4"/>
            <w:tabs>
              <w:tab w:val="clear" w:pos="8176"/>
              <w:tab w:val="right" w:pos="9026" w:leader="dot"/>
            </w:tabs>
            <w:rPr/>
          </w:pPr>
          <w:hyperlink w:anchor="__RefHeading___Toc3231783_373438147">
            <w:r>
              <w:rPr>
                <w:webHidden/>
                <w:rStyle w:val="IndexLink"/>
                <w:rtl w:val="true"/>
              </w:rPr>
              <w:t>بعض اختلافات ابن عباس و عثمان الفقهیة</w:t>
            </w:r>
            <w:r>
              <w:rPr>
                <w:rStyle w:val="IndexLink"/>
                <w:rtl w:val="true"/>
              </w:rPr>
              <w:tab/>
            </w:r>
            <w:r>
              <w:rPr>
                <w:rStyle w:val="IndexLink"/>
              </w:rPr>
              <w:t>71</w:t>
            </w:r>
          </w:hyperlink>
        </w:p>
        <w:p>
          <w:pPr>
            <w:pStyle w:val="Contents5"/>
            <w:tabs>
              <w:tab w:val="clear" w:pos="7892"/>
              <w:tab w:val="right" w:pos="9026" w:leader="dot"/>
            </w:tabs>
            <w:rPr/>
          </w:pPr>
          <w:hyperlink w:anchor="__RefHeading___Toc3231785_373438147">
            <w:r>
              <w:rPr>
                <w:webHidden/>
                <w:rStyle w:val="IndexLink"/>
              </w:rPr>
              <w:t>1</w:t>
            </w:r>
            <w:r>
              <w:rPr>
                <w:rStyle w:val="IndexLink"/>
                <w:rtl w:val="true"/>
              </w:rPr>
              <w:t xml:space="preserve">- </w:t>
            </w:r>
            <w:r>
              <w:rPr>
                <w:rStyle w:val="IndexLink"/>
                <w:rtl w:val="true"/>
              </w:rPr>
              <w:t>الصلاة بمنی</w:t>
            </w:r>
            <w:r>
              <w:rPr>
                <w:rStyle w:val="IndexLink"/>
                <w:rtl w:val="true"/>
              </w:rPr>
              <w:tab/>
            </w:r>
            <w:r>
              <w:rPr>
                <w:rStyle w:val="IndexLink"/>
              </w:rPr>
              <w:t>71</w:t>
            </w:r>
          </w:hyperlink>
        </w:p>
        <w:p>
          <w:pPr>
            <w:pStyle w:val="Contents5"/>
            <w:tabs>
              <w:tab w:val="clear" w:pos="7892"/>
              <w:tab w:val="right" w:pos="9026" w:leader="dot"/>
            </w:tabs>
            <w:rPr/>
          </w:pPr>
          <w:hyperlink w:anchor="__RefHeading___Toc3231787_373438147">
            <w:r>
              <w:rPr>
                <w:webHidden/>
                <w:rStyle w:val="IndexLink"/>
              </w:rPr>
              <w:t>2</w:t>
            </w:r>
            <w:r>
              <w:rPr>
                <w:rStyle w:val="IndexLink"/>
                <w:rtl w:val="true"/>
              </w:rPr>
              <w:t xml:space="preserve">- </w:t>
            </w:r>
            <w:r>
              <w:rPr>
                <w:rStyle w:val="IndexLink"/>
                <w:rtl w:val="true"/>
              </w:rPr>
              <w:t>تقدیم الخطبة علی الصلاة فی العیدین</w:t>
            </w:r>
            <w:r>
              <w:rPr>
                <w:rStyle w:val="IndexLink"/>
                <w:rtl w:val="true"/>
              </w:rPr>
              <w:tab/>
            </w:r>
            <w:r>
              <w:rPr>
                <w:rStyle w:val="IndexLink"/>
              </w:rPr>
              <w:t>72</w:t>
            </w:r>
          </w:hyperlink>
        </w:p>
        <w:p>
          <w:pPr>
            <w:pStyle w:val="Contents5"/>
            <w:tabs>
              <w:tab w:val="clear" w:pos="7892"/>
              <w:tab w:val="right" w:pos="9026" w:leader="dot"/>
            </w:tabs>
            <w:rPr/>
          </w:pPr>
          <w:hyperlink w:anchor="__RefHeading___Toc3231789_373438147">
            <w:r>
              <w:rPr>
                <w:webHidden/>
                <w:rStyle w:val="IndexLink"/>
              </w:rPr>
              <w:t>3</w:t>
            </w:r>
            <w:r>
              <w:rPr>
                <w:rStyle w:val="IndexLink"/>
                <w:rtl w:val="true"/>
              </w:rPr>
              <w:t xml:space="preserve">- </w:t>
            </w:r>
            <w:r>
              <w:rPr>
                <w:rStyle w:val="IndexLink"/>
                <w:rtl w:val="true"/>
              </w:rPr>
              <w:t>قتل المسلم بالذمی</w:t>
            </w:r>
            <w:r>
              <w:rPr>
                <w:rStyle w:val="IndexLink"/>
                <w:rtl w:val="true"/>
              </w:rPr>
              <w:tab/>
            </w:r>
            <w:r>
              <w:rPr>
                <w:rStyle w:val="IndexLink"/>
              </w:rPr>
              <w:t>73</w:t>
            </w:r>
          </w:hyperlink>
        </w:p>
        <w:p>
          <w:pPr>
            <w:pStyle w:val="Contents5"/>
            <w:tabs>
              <w:tab w:val="clear" w:pos="7892"/>
              <w:tab w:val="right" w:pos="9026" w:leader="dot"/>
            </w:tabs>
            <w:rPr/>
          </w:pPr>
          <w:hyperlink w:anchor="__RefHeading___Toc3231791_373438147">
            <w:r>
              <w:rPr>
                <w:webHidden/>
                <w:rStyle w:val="IndexLink"/>
              </w:rPr>
              <w:t>4</w:t>
            </w:r>
            <w:r>
              <w:rPr>
                <w:rStyle w:val="IndexLink"/>
                <w:rtl w:val="true"/>
              </w:rPr>
              <w:t xml:space="preserve">- </w:t>
            </w:r>
            <w:r>
              <w:rPr>
                <w:rStyle w:val="IndexLink"/>
                <w:rtl w:val="true"/>
              </w:rPr>
              <w:t>الارث</w:t>
            </w:r>
            <w:r>
              <w:rPr>
                <w:rStyle w:val="IndexLink"/>
                <w:rtl w:val="true"/>
              </w:rPr>
              <w:tab/>
            </w:r>
            <w:r>
              <w:rPr>
                <w:rStyle w:val="IndexLink"/>
              </w:rPr>
              <w:t>73</w:t>
            </w:r>
          </w:hyperlink>
        </w:p>
        <w:p>
          <w:pPr>
            <w:pStyle w:val="Contents4"/>
            <w:tabs>
              <w:tab w:val="clear" w:pos="8176"/>
              <w:tab w:val="right" w:pos="9026" w:leader="dot"/>
            </w:tabs>
            <w:rPr/>
          </w:pPr>
          <w:hyperlink w:anchor="__RefHeading___Toc3231793_373438147">
            <w:r>
              <w:rPr>
                <w:webHidden/>
                <w:rStyle w:val="IndexLink"/>
                <w:rtl w:val="true"/>
              </w:rPr>
              <w:t>ابن عباس و الحکومات سیاسة و فقهاً</w:t>
            </w:r>
            <w:r>
              <w:rPr>
                <w:rStyle w:val="IndexLink"/>
                <w:rtl w:val="true"/>
              </w:rPr>
              <w:tab/>
            </w:r>
            <w:r>
              <w:rPr>
                <w:rStyle w:val="IndexLink"/>
              </w:rPr>
              <w:t>74</w:t>
            </w:r>
          </w:hyperlink>
        </w:p>
        <w:p>
          <w:pPr>
            <w:pStyle w:val="Contents4"/>
            <w:tabs>
              <w:tab w:val="clear" w:pos="8176"/>
              <w:tab w:val="right" w:pos="9026" w:leader="dot"/>
            </w:tabs>
            <w:rPr/>
          </w:pPr>
          <w:hyperlink w:anchor="__RefHeading___Toc3231795_373438147">
            <w:r>
              <w:rPr>
                <w:webHidden/>
                <w:rStyle w:val="IndexLink"/>
                <w:rtl w:val="true"/>
              </w:rPr>
              <w:t>ابن عبّاس و الخلافة</w:t>
            </w:r>
            <w:r>
              <w:rPr>
                <w:rStyle w:val="IndexLink"/>
                <w:rtl w:val="true"/>
              </w:rPr>
              <w:tab/>
            </w:r>
            <w:r>
              <w:rPr>
                <w:rStyle w:val="IndexLink"/>
              </w:rPr>
              <w:t>75</w:t>
            </w:r>
          </w:hyperlink>
        </w:p>
        <w:p>
          <w:pPr>
            <w:pStyle w:val="Contents4"/>
            <w:tabs>
              <w:tab w:val="clear" w:pos="8176"/>
              <w:tab w:val="right" w:pos="9026" w:leader="dot"/>
            </w:tabs>
            <w:rPr/>
          </w:pPr>
          <w:hyperlink w:anchor="__RefHeading___Toc3231797_373438147">
            <w:r>
              <w:rPr>
                <w:webHidden/>
                <w:rStyle w:val="IndexLink"/>
                <w:rtl w:val="true"/>
              </w:rPr>
              <w:t>وحدة الفقه بین علی و ابن عبّاس</w:t>
            </w:r>
            <w:r>
              <w:rPr>
                <w:rStyle w:val="IndexLink"/>
                <w:rtl w:val="true"/>
              </w:rPr>
              <w:tab/>
            </w:r>
            <w:r>
              <w:rPr>
                <w:rStyle w:val="IndexLink"/>
              </w:rPr>
              <w:t>79</w:t>
            </w:r>
          </w:hyperlink>
        </w:p>
        <w:p>
          <w:pPr>
            <w:pStyle w:val="Contents5"/>
            <w:tabs>
              <w:tab w:val="clear" w:pos="7892"/>
              <w:tab w:val="right" w:pos="9026" w:leader="dot"/>
            </w:tabs>
            <w:rPr/>
          </w:pPr>
          <w:hyperlink w:anchor="__RefHeading___Toc3231799_373438147">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3231801_373438147">
            <w:r>
              <w:rPr>
                <w:webHidden/>
                <w:rStyle w:val="IndexLink"/>
              </w:rPr>
              <w:t>1</w:t>
            </w:r>
            <w:r>
              <w:rPr>
                <w:rStyle w:val="IndexLink"/>
                <w:rtl w:val="true"/>
              </w:rPr>
              <w:t xml:space="preserve">- </w:t>
            </w:r>
            <w:r>
              <w:rPr>
                <w:rStyle w:val="IndexLink"/>
                <w:rtl w:val="true"/>
              </w:rPr>
              <w:t>البسملة</w:t>
            </w:r>
            <w:r>
              <w:rPr>
                <w:rStyle w:val="IndexLink"/>
                <w:rtl w:val="true"/>
              </w:rPr>
              <w:tab/>
            </w:r>
            <w:r>
              <w:rPr>
                <w:rStyle w:val="IndexLink"/>
              </w:rPr>
              <w:t>79</w:t>
            </w:r>
          </w:hyperlink>
        </w:p>
        <w:p>
          <w:pPr>
            <w:pStyle w:val="Contents5"/>
            <w:tabs>
              <w:tab w:val="clear" w:pos="7892"/>
              <w:tab w:val="right" w:pos="9026" w:leader="dot"/>
            </w:tabs>
            <w:rPr/>
          </w:pPr>
          <w:hyperlink w:anchor="__RefHeading___Toc3231803_373438147">
            <w:r>
              <w:rPr>
                <w:webHidden/>
                <w:rStyle w:val="IndexLink"/>
              </w:rPr>
              <w:t>2</w:t>
            </w:r>
            <w:r>
              <w:rPr>
                <w:rStyle w:val="IndexLink"/>
                <w:rtl w:val="true"/>
              </w:rPr>
              <w:t xml:space="preserve">- </w:t>
            </w:r>
            <w:r>
              <w:rPr>
                <w:rStyle w:val="IndexLink"/>
                <w:rtl w:val="true"/>
              </w:rPr>
              <w:t>الخمس</w:t>
            </w:r>
            <w:r>
              <w:rPr>
                <w:rStyle w:val="IndexLink"/>
                <w:rtl w:val="true"/>
              </w:rPr>
              <w:tab/>
            </w:r>
            <w:r>
              <w:rPr>
                <w:rStyle w:val="IndexLink"/>
              </w:rPr>
              <w:t>82</w:t>
            </w:r>
          </w:hyperlink>
        </w:p>
        <w:p>
          <w:pPr>
            <w:pStyle w:val="Contents5"/>
            <w:tabs>
              <w:tab w:val="clear" w:pos="7892"/>
              <w:tab w:val="right" w:pos="9026" w:leader="dot"/>
            </w:tabs>
            <w:rPr/>
          </w:pPr>
          <w:hyperlink w:anchor="__RefHeading___Toc3231805_373438147">
            <w:r>
              <w:rPr>
                <w:webHidden/>
                <w:rStyle w:val="IndexLink"/>
              </w:rPr>
              <w:t>3</w:t>
            </w:r>
            <w:r>
              <w:rPr>
                <w:rStyle w:val="IndexLink"/>
                <w:rtl w:val="true"/>
              </w:rPr>
              <w:t xml:space="preserve">- </w:t>
            </w:r>
            <w:r>
              <w:rPr>
                <w:rStyle w:val="IndexLink"/>
                <w:rtl w:val="true"/>
              </w:rPr>
              <w:t>التکبیر لکل رفع و خفض</w:t>
            </w:r>
            <w:r>
              <w:rPr>
                <w:rStyle w:val="IndexLink"/>
                <w:rtl w:val="true"/>
              </w:rPr>
              <w:tab/>
            </w:r>
            <w:r>
              <w:rPr>
                <w:rStyle w:val="IndexLink"/>
              </w:rPr>
              <w:t>83</w:t>
            </w:r>
          </w:hyperlink>
        </w:p>
        <w:p>
          <w:pPr>
            <w:pStyle w:val="Contents5"/>
            <w:tabs>
              <w:tab w:val="clear" w:pos="7892"/>
              <w:tab w:val="right" w:pos="9026" w:leader="dot"/>
            </w:tabs>
            <w:rPr/>
          </w:pPr>
          <w:hyperlink w:anchor="__RefHeading___Toc3231807_373438147">
            <w:r>
              <w:rPr>
                <w:webHidden/>
                <w:rStyle w:val="IndexLink"/>
              </w:rPr>
              <w:t>4</w:t>
            </w:r>
            <w:r>
              <w:rPr>
                <w:rStyle w:val="IndexLink"/>
                <w:rtl w:val="true"/>
              </w:rPr>
              <w:t xml:space="preserve">- </w:t>
            </w:r>
            <w:r>
              <w:rPr>
                <w:rStyle w:val="IndexLink"/>
                <w:rtl w:val="true"/>
              </w:rPr>
              <w:t>دیة الأصابع</w:t>
            </w:r>
            <w:r>
              <w:rPr>
                <w:rStyle w:val="IndexLink"/>
                <w:rtl w:val="true"/>
              </w:rPr>
              <w:tab/>
            </w:r>
            <w:r>
              <w:rPr>
                <w:rStyle w:val="IndexLink"/>
              </w:rPr>
              <w:t>85</w:t>
            </w:r>
          </w:hyperlink>
        </w:p>
        <w:p>
          <w:pPr>
            <w:pStyle w:val="Contents5"/>
            <w:tabs>
              <w:tab w:val="clear" w:pos="7892"/>
              <w:tab w:val="right" w:pos="9026" w:leader="dot"/>
            </w:tabs>
            <w:rPr/>
          </w:pPr>
          <w:hyperlink w:anchor="__RefHeading___Toc3231809_373438147">
            <w:r>
              <w:rPr>
                <w:webHidden/>
                <w:rStyle w:val="IndexLink"/>
              </w:rPr>
              <w:t>5</w:t>
            </w:r>
            <w:r>
              <w:rPr>
                <w:rStyle w:val="IndexLink"/>
                <w:rtl w:val="true"/>
              </w:rPr>
              <w:t xml:space="preserve">- </w:t>
            </w:r>
            <w:r>
              <w:rPr>
                <w:rStyle w:val="IndexLink"/>
                <w:rtl w:val="true"/>
              </w:rPr>
              <w:t>الجمع بین الصلاتین</w:t>
            </w:r>
            <w:r>
              <w:rPr>
                <w:rStyle w:val="IndexLink"/>
                <w:rtl w:val="true"/>
              </w:rPr>
              <w:tab/>
            </w:r>
            <w:r>
              <w:rPr>
                <w:rStyle w:val="IndexLink"/>
              </w:rPr>
              <w:t>86</w:t>
            </w:r>
          </w:hyperlink>
        </w:p>
        <w:p>
          <w:pPr>
            <w:pStyle w:val="Contents5"/>
            <w:tabs>
              <w:tab w:val="clear" w:pos="7892"/>
              <w:tab w:val="right" w:pos="9026" w:leader="dot"/>
            </w:tabs>
            <w:rPr/>
          </w:pPr>
          <w:hyperlink w:anchor="__RefHeading___Toc3231811_373438147">
            <w:r>
              <w:rPr>
                <w:webHidden/>
                <w:rStyle w:val="IndexLink"/>
              </w:rPr>
              <w:t>6</w:t>
            </w:r>
            <w:r>
              <w:rPr>
                <w:rStyle w:val="IndexLink"/>
                <w:rtl w:val="true"/>
              </w:rPr>
              <w:t xml:space="preserve">- </w:t>
            </w:r>
            <w:r>
              <w:rPr>
                <w:rStyle w:val="IndexLink"/>
                <w:rtl w:val="true"/>
              </w:rPr>
              <w:t>عدم جواز تطیب المحرم</w:t>
            </w:r>
            <w:r>
              <w:rPr>
                <w:rStyle w:val="IndexLink"/>
                <w:rtl w:val="true"/>
              </w:rPr>
              <w:tab/>
            </w:r>
            <w:r>
              <w:rPr>
                <w:rStyle w:val="IndexLink"/>
              </w:rPr>
              <w:t>87</w:t>
            </w:r>
          </w:hyperlink>
        </w:p>
        <w:p>
          <w:pPr>
            <w:pStyle w:val="Contents5"/>
            <w:tabs>
              <w:tab w:val="clear" w:pos="7892"/>
              <w:tab w:val="right" w:pos="9026" w:leader="dot"/>
            </w:tabs>
            <w:rPr/>
          </w:pPr>
          <w:hyperlink w:anchor="__RefHeading___Toc3231813_373438147">
            <w:r>
              <w:rPr>
                <w:webHidden/>
                <w:rStyle w:val="IndexLink"/>
              </w:rPr>
              <w:t>7</w:t>
            </w:r>
            <w:r>
              <w:rPr>
                <w:rStyle w:val="IndexLink"/>
                <w:rtl w:val="true"/>
              </w:rPr>
              <w:t xml:space="preserve">- </w:t>
            </w:r>
            <w:r>
              <w:rPr>
                <w:rStyle w:val="IndexLink"/>
                <w:rtl w:val="true"/>
              </w:rPr>
              <w:t>مسائل فی الارث</w:t>
            </w:r>
            <w:r>
              <w:rPr>
                <w:rStyle w:val="IndexLink"/>
                <w:rtl w:val="true"/>
              </w:rPr>
              <w:tab/>
            </w:r>
            <w:r>
              <w:rPr>
                <w:rStyle w:val="IndexLink"/>
              </w:rPr>
              <w:t>87</w:t>
            </w:r>
          </w:hyperlink>
        </w:p>
        <w:p>
          <w:pPr>
            <w:pStyle w:val="Contents5"/>
            <w:tabs>
              <w:tab w:val="clear" w:pos="7892"/>
              <w:tab w:val="right" w:pos="9026" w:leader="dot"/>
            </w:tabs>
            <w:rPr/>
          </w:pPr>
          <w:hyperlink w:anchor="__RefHeading___Toc3231815_373438147">
            <w:r>
              <w:rPr>
                <w:webHidden/>
                <w:rStyle w:val="IndexLink"/>
              </w:rPr>
              <w:t>8</w:t>
            </w:r>
            <w:r>
              <w:rPr>
                <w:rStyle w:val="IndexLink"/>
                <w:rtl w:val="true"/>
              </w:rPr>
              <w:t xml:space="preserve">- </w:t>
            </w:r>
            <w:r>
              <w:rPr>
                <w:rStyle w:val="IndexLink"/>
                <w:rtl w:val="true"/>
              </w:rPr>
              <w:t>الحمل لستة اشهر</w:t>
            </w:r>
            <w:r>
              <w:rPr>
                <w:rStyle w:val="IndexLink"/>
                <w:rtl w:val="true"/>
              </w:rPr>
              <w:tab/>
            </w:r>
            <w:r>
              <w:rPr>
                <w:rStyle w:val="IndexLink"/>
              </w:rPr>
              <w:t>88</w:t>
            </w:r>
          </w:hyperlink>
        </w:p>
        <w:p>
          <w:pPr>
            <w:pStyle w:val="Contents4"/>
            <w:tabs>
              <w:tab w:val="clear" w:pos="8176"/>
              <w:tab w:val="right" w:pos="9026" w:leader="dot"/>
            </w:tabs>
            <w:rPr/>
          </w:pPr>
          <w:hyperlink w:anchor="__RefHeading___Toc3231817_373438147">
            <w:r>
              <w:rPr>
                <w:webHidden/>
                <w:rStyle w:val="IndexLink"/>
                <w:rtl w:val="true"/>
              </w:rPr>
              <w:t>مخالفة النهج الحاکم مع علی و ابن عبّاس</w:t>
            </w:r>
            <w:r>
              <w:rPr>
                <w:rStyle w:val="IndexLink"/>
                <w:rtl w:val="true"/>
              </w:rPr>
              <w:tab/>
            </w:r>
            <w:r>
              <w:rPr>
                <w:rStyle w:val="IndexLink"/>
              </w:rPr>
              <w:t>90</w:t>
            </w:r>
          </w:hyperlink>
        </w:p>
        <w:p>
          <w:pPr>
            <w:pStyle w:val="Contents4"/>
            <w:tabs>
              <w:tab w:val="clear" w:pos="8176"/>
              <w:tab w:val="right" w:pos="9026" w:leader="dot"/>
            </w:tabs>
            <w:rPr/>
          </w:pPr>
          <w:hyperlink w:anchor="__RefHeading___Toc3231819_373438147">
            <w:r>
              <w:rPr>
                <w:webHidden/>
                <w:rStyle w:val="IndexLink"/>
                <w:rtl w:val="true"/>
              </w:rPr>
              <w:t>معالم الوحدة و التضاد فی مرویات ابن عبّاس الوضوئیة</w:t>
            </w:r>
            <w:r>
              <w:rPr>
                <w:rStyle w:val="IndexLink"/>
                <w:rtl w:val="true"/>
              </w:rPr>
              <w:tab/>
            </w:r>
            <w:r>
              <w:rPr>
                <w:rStyle w:val="IndexLink"/>
              </w:rPr>
              <w:t>108</w:t>
            </w:r>
          </w:hyperlink>
        </w:p>
        <w:p>
          <w:pPr>
            <w:pStyle w:val="Contents4"/>
            <w:tabs>
              <w:tab w:val="clear" w:pos="8176"/>
              <w:tab w:val="right" w:pos="9026" w:leader="dot"/>
            </w:tabs>
            <w:rPr/>
          </w:pPr>
          <w:hyperlink w:anchor="__RefHeading___Toc3231821_373438147">
            <w:r>
              <w:rPr>
                <w:webHidden/>
                <w:rStyle w:val="IndexLink"/>
                <w:rtl w:val="true"/>
              </w:rPr>
              <w:t>التدوین بین المانعین و المجیزین</w:t>
            </w:r>
            <w:r>
              <w:rPr>
                <w:rStyle w:val="IndexLink"/>
                <w:rtl w:val="true"/>
              </w:rPr>
              <w:t>:</w:t>
              <w:tab/>
            </w:r>
            <w:r>
              <w:rPr>
                <w:rStyle w:val="IndexLink"/>
              </w:rPr>
              <w:t>116</w:t>
            </w:r>
          </w:hyperlink>
        </w:p>
        <w:p>
          <w:pPr>
            <w:pStyle w:val="Contents4"/>
            <w:tabs>
              <w:tab w:val="clear" w:pos="8176"/>
              <w:tab w:val="right" w:pos="9026" w:leader="dot"/>
            </w:tabs>
            <w:rPr/>
          </w:pPr>
          <w:hyperlink w:anchor="__RefHeading___Toc3231823_373438147">
            <w:r>
              <w:rPr>
                <w:webHidden/>
                <w:rStyle w:val="IndexLink"/>
                <w:rtl w:val="true"/>
              </w:rPr>
              <w:t>المدونون و أخبار الوضوء عن ابن عبّاس</w:t>
            </w:r>
            <w:r>
              <w:rPr>
                <w:rStyle w:val="IndexLink"/>
                <w:rtl w:val="true"/>
              </w:rPr>
              <w:tab/>
            </w:r>
            <w:r>
              <w:rPr>
                <w:rStyle w:val="IndexLink"/>
              </w:rPr>
              <w:t>133</w:t>
            </w:r>
          </w:hyperlink>
        </w:p>
        <w:p>
          <w:pPr>
            <w:pStyle w:val="Contents4"/>
            <w:tabs>
              <w:tab w:val="clear" w:pos="8176"/>
              <w:tab w:val="right" w:pos="9026" w:leader="dot"/>
            </w:tabs>
            <w:rPr/>
          </w:pPr>
          <w:hyperlink w:anchor="__RefHeading___Toc3231825_373438147">
            <w:r>
              <w:rPr>
                <w:webHidden/>
                <w:rStyle w:val="IndexLink"/>
                <w:rtl w:val="true"/>
              </w:rPr>
              <w:t>رواة الغسل عن ابن عبّاس</w:t>
            </w:r>
            <w:r>
              <w:rPr>
                <w:rStyle w:val="IndexLink"/>
                <w:rtl w:val="true"/>
              </w:rPr>
              <w:tab/>
            </w:r>
            <w:r>
              <w:rPr>
                <w:rStyle w:val="IndexLink"/>
              </w:rPr>
              <w:t>135</w:t>
            </w:r>
          </w:hyperlink>
        </w:p>
        <w:p>
          <w:pPr>
            <w:pStyle w:val="Contents4"/>
            <w:tabs>
              <w:tab w:val="clear" w:pos="8176"/>
              <w:tab w:val="right" w:pos="9026" w:leader="dot"/>
            </w:tabs>
            <w:rPr/>
          </w:pPr>
          <w:hyperlink w:anchor="__RefHeading___Toc3231827_373438147">
            <w:r>
              <w:rPr>
                <w:webHidden/>
                <w:rStyle w:val="IndexLink"/>
                <w:rtl w:val="true"/>
              </w:rPr>
              <w:t>رواة المسح عن ابن عبّاس</w:t>
            </w:r>
            <w:r>
              <w:rPr>
                <w:rStyle w:val="IndexLink"/>
                <w:rtl w:val="true"/>
              </w:rPr>
              <w:tab/>
            </w:r>
            <w:r>
              <w:rPr>
                <w:rStyle w:val="IndexLink"/>
              </w:rPr>
              <w:t>139</w:t>
            </w:r>
          </w:hyperlink>
        </w:p>
        <w:p>
          <w:pPr>
            <w:pStyle w:val="Contents2"/>
            <w:tabs>
              <w:tab w:val="clear" w:pos="8743"/>
              <w:tab w:val="right" w:pos="9026" w:leader="dot"/>
            </w:tabs>
            <w:rPr/>
          </w:pPr>
          <w:hyperlink w:anchor="__RefHeading___Toc3231829_373438147">
            <w:r>
              <w:rPr>
                <w:webHidden/>
                <w:rStyle w:val="IndexLink"/>
                <w:rtl w:val="true"/>
              </w:rPr>
              <w:t>فهرس المصادر</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6_10088"/>
      <w:bookmarkStart w:id="1" w:name="pg1276_10088"/>
      <w:bookmarkEnd w:id="1"/>
    </w:p>
    <w:p>
      <w:pPr>
        <w:pStyle w:val="Heading2"/>
        <w:numPr>
          <w:ilvl w:val="1"/>
          <w:numId w:val="1"/>
        </w:numPr>
        <w:rPr/>
      </w:pPr>
      <w:bookmarkStart w:id="2" w:name="pg1276_10088"/>
      <w:bookmarkStart w:id="3" w:name="__RefHeading___Toc3231713_37343814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سیدعلی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عبدالله‌بن عباس و دورالسیاسه فی اختلاف‌النقل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الشهرستانی؛ تلخیص و تربیت قیس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عبدالله بن عباس،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Attar, Qays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1715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76_10092"/>
      <w:bookmarkStart w:id="8" w:name="pg1276_10092"/>
      <w:bookmarkEnd w:id="8"/>
    </w:p>
    <w:p>
      <w:pPr>
        <w:pStyle w:val="Heading2"/>
        <w:numPr>
          <w:ilvl w:val="1"/>
          <w:numId w:val="1"/>
        </w:numPr>
        <w:rPr/>
      </w:pPr>
      <w:bookmarkStart w:id="9" w:name="pg1276_10092"/>
      <w:bookmarkStart w:id="10" w:name="__RefHeading___Toc3231717_373438147"/>
      <w:bookmarkStart w:id="11" w:name="_Toc3"/>
      <w:bookmarkEnd w:id="9"/>
      <w:bookmarkEnd w:id="10"/>
      <w:r>
        <w:rPr>
          <w:rtl w:val="true"/>
        </w:rPr>
        <w:t>المقدمة</w:t>
      </w:r>
      <w:r>
        <w:rPr>
          <w:rtl w:val="true"/>
        </w:rPr>
        <w:t>:</w:t>
      </w:r>
      <w:bookmarkEnd w:id="11"/>
    </w:p>
    <w:p>
      <w:pPr>
        <w:pStyle w:val="BookText"/>
        <w:rPr/>
      </w:pPr>
      <w:r>
        <w:rPr>
          <w:rFonts w:ascii="IRNazanin" w:hAnsi="IRNazanin" w:eastAsia="IRNazanin"/>
          <w:color w:val="111111"/>
          <w:sz w:val="28"/>
          <w:sz w:val="28"/>
          <w:szCs w:val="28"/>
          <w:rtl w:val="true"/>
          <w:lang w:bidi="fa-IR"/>
        </w:rPr>
        <w:t xml:space="preserve">ناقش المؤلف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من التفصیل روایات عبد اللّه بن عباس الغسلیة و المسحیة سنداً و دلالة ثمّ اصطلح بعد ذلک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أنّ معنی البحثین السندیّ و الدلالیّ قد عرفت ماهیته لدی الباحثین و الأعلام فلا حاجة بنا لتوضیحه، و أما ما اصطلح علیه المؤلف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توضیحه؛ لأنّ الباحث بعد الفراغ من دراسة الأخبار سنداً و دلالة یجب علیه أن یأتی إلی دراسة حقیقة إمکان انتساب هذه الأخبار إلی ذلک الصحابی المنسوب إلیه الخبر أم لا؟ و هل یتوافق هذا المنسوب مع مرویاته الأخری و سیرته العلمیة و العملیة أم لا؟ بل و مدی تطابق هذا المنسوب مع الثوابت الحدیثیة الأخری الصادرة عن رسول اللّٰه؟ و أخیراً ترجیح أحد النقلین عن الصحابی عند التعارض</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یکون عن جهة الصدور و الإلمام بأطراف الحدث الفقهی المراد دراسته من خلال الأخذ بجمیع أطراف الشخصیة المنسوب إلیها الحدث، أو التی یمکن أن ینسب إلیها، بناء علی الکلّیات العامة التی عرفناها عنه، مضافاً إلی دراسة الظروف المحیطة بالحدث، ثمّ محاولة تطبیق المنسوب مع الحصیلة النهائیة المستنتجة منها، و مدی تلائم و انسجام تلک النسبة معه أو عدمها؟ </w:t>
      </w:r>
    </w:p>
    <w:p>
      <w:pPr>
        <w:pStyle w:val="BookText"/>
        <w:rPr/>
      </w:pPr>
      <w:r>
        <w:rPr>
          <w:rFonts w:ascii="IRNazanin" w:hAnsi="IRNazanin" w:eastAsia="IRNazanin"/>
          <w:color w:val="111111"/>
          <w:sz w:val="28"/>
          <w:sz w:val="28"/>
          <w:szCs w:val="28"/>
          <w:rtl w:val="true"/>
          <w:lang w:bidi="fa-IR"/>
        </w:rPr>
        <w:t>فکان مطلوب المؤلف فیما اصطلح علیه هو الوصول إلی إمکان انتساب الواقعة الفقهیة إلی الشخصیة الفلانیة و عدمه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الأصولیون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ادّعاء وقوعه و عدم وقوعه فی الخارج العملی، ثمّ تطبیق هذه الحصیلة علی النتائج المتوصّل إلیها من خلال البحثین السندی و الدلالی، للخروج بالنتیجة إثباتاً علی الواقع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فالمؤلف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فراغه من مناقشة الأسانید و المتون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الکلیات فی تاریخ التشریع للاستعانة بها عند الترجیح بین النقولات، فمثلًا رجّح المؤلّف نسبة المسح إلی ابن عباس و ذلک من خلال دراسة المبانی الفقهیة و الملابسات العقائدیة و التاریخیة المحیطة بابن عباس و مرویاته، و ما نقل عنه فی الوضوء علی وجه الخصوص، و بعد ذلک المخاض العسیر علم من دراسته السندیة و المتنیة و ما قدّمه فی نسبة الخبر إلی عبد اللّه بن عباس من معطیات بصراحة أنّ مذهبه هو المسح لا غیر، و أنّ ما روی عنه فی الغسل لا یمکن أن یعارض ما ثبت عنه من المسح؛ لأنه لا یعدو أن یکون إمّا منکراً أو شاذاً، و أنّ المتبنّین للوضوء الغسلی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لمآرب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نسبوا هذا الوضوء المبتدع إلی ابن عباس و هو منه براء، و من المعلوم أنّ الروایة التی هذا حالها لا یمکنها أن تقاوم الصحیح المحفوظ عن ابن عباس، و الذی ینسجم تماماً مع شخصیته الفقهیة و العقائدیة و السیاسیة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 الآن خلاصة البحث حول ابن عباس و مذهبه الوضوئی، لتقف علی حقیقة الأمر، و لتکون علی بیّنة فی معرفة ملابسات الأحکام الشرعیة و تاریخ التشریع الإسلامی</w:t>
      </w:r>
      <w:r>
        <w:rPr>
          <w:rFonts w:eastAsia="IRNazanin" w:cs="IRNazanin"/>
          <w:color w:val="111111"/>
          <w:sz w:val="28"/>
          <w:szCs w:val="28"/>
          <w:rtl w:val="true"/>
          <w:lang w:bidi="fa-IR"/>
        </w:rPr>
        <w:t xml:space="preserve">. </w:t>
      </w:r>
      <w:bookmarkStart w:id="12" w:name="pg1276_10094"/>
    </w:p>
    <w:p>
      <w:pPr>
        <w:pStyle w:val="Heading2"/>
        <w:numPr>
          <w:ilvl w:val="1"/>
          <w:numId w:val="1"/>
        </w:numPr>
        <w:rPr/>
      </w:pPr>
      <w:bookmarkStart w:id="13" w:name="__RefHeading___Toc3231719_373438147"/>
      <w:bookmarkStart w:id="14" w:name="_Toc4"/>
      <w:bookmarkEnd w:id="12"/>
      <w:bookmarkEnd w:id="13"/>
      <w:r>
        <w:rPr>
          <w:rtl w:val="true"/>
        </w:rPr>
        <w:t>المناقشة السندیة و الدلالیة للروایات الغسلیة</w:t>
      </w:r>
      <w:bookmarkEnd w:id="14"/>
    </w:p>
    <w:p>
      <w:pPr>
        <w:pStyle w:val="Heading3"/>
        <w:numPr>
          <w:ilvl w:val="2"/>
          <w:numId w:val="1"/>
        </w:numPr>
        <w:rPr/>
      </w:pPr>
      <w:bookmarkStart w:id="15" w:name="__RefHeading___Toc3231721_373438147"/>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و قبل أن نبحث نسبة الخبر إلی ابن عباس نقدّم للقارئ العزیز خلاصة ما تمخضت عنه البحوث السندیة الراویة للوضوء عن ابن عباس غسلًا و مسحاً، و مناقشة متونها،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روی فی الصحاح و السنن عن عبد اللّه بن عباس فی الغسل منحصرٌ بخمسة أسانید ترجع إلی طریقین</w:t>
      </w:r>
      <w:r>
        <w:rPr>
          <w:rFonts w:eastAsia="IRNazanin" w:cs="IRNazanin"/>
          <w:color w:val="111111"/>
          <w:sz w:val="28"/>
          <w:szCs w:val="28"/>
          <w:rtl w:val="true"/>
          <w:lang w:bidi="fa-IR"/>
        </w:rPr>
        <w:t>.</w:t>
      </w:r>
    </w:p>
    <w:p>
      <w:pPr>
        <w:pStyle w:val="Heading3"/>
        <w:numPr>
          <w:ilvl w:val="2"/>
          <w:numId w:val="1"/>
        </w:numPr>
        <w:rPr/>
      </w:pPr>
      <w:bookmarkStart w:id="17" w:name="__RefHeading___Toc3231723_373438147"/>
      <w:bookmarkStart w:id="18" w:name="_Toc6"/>
      <w:bookmarkEnd w:id="17"/>
      <w:r>
        <w:rPr>
          <w:rtl w:val="true"/>
        </w:rPr>
        <w:t>الروایات الغسلیة</w:t>
      </w:r>
      <w:bookmarkEnd w:id="18"/>
    </w:p>
    <w:p>
      <w:pPr>
        <w:pStyle w:val="Heading4"/>
        <w:numPr>
          <w:ilvl w:val="3"/>
          <w:numId w:val="1"/>
        </w:numPr>
        <w:rPr/>
      </w:pPr>
      <w:bookmarkStart w:id="19" w:name="__RefHeading___Toc3231725_373438147"/>
      <w:bookmarkStart w:id="20" w:name="_Toc7"/>
      <w:bookmarkEnd w:id="19"/>
      <w:r>
        <w:rPr>
          <w:rtl w:val="true"/>
        </w:rPr>
        <w:t>اشارة</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الأول و أسانیده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یسار عن ابن عباس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الرحیم،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سلمة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أسلم، عن عطاء بن یسار، عن ابن عبّاس، أنّه توضّأ فغسل وجهه، أخذ غرفة من ماء فمضمض بها و استنشق، ثمّ أخذ غرفة من ماء، </w:t>
      </w:r>
    </w:p>
    <w:p>
      <w:pPr>
        <w:pStyle w:val="BookText"/>
        <w:rPr/>
      </w:pPr>
      <w:r>
        <w:rPr>
          <w:rFonts w:ascii="IRNazanin" w:hAnsi="IRNazanin" w:eastAsia="IRNazanin"/>
          <w:color w:val="111111"/>
          <w:sz w:val="28"/>
          <w:sz w:val="28"/>
          <w:szCs w:val="28"/>
          <w:rtl w:val="true"/>
          <w:lang w:bidi="fa-IR"/>
        </w:rPr>
        <w:t>فجعل بها هکذا، أضافها إلی یده الأخری فغسل بهما وجهه، ثمّ أخذ غرفة من ماء فغسل بها یده الیمنی، ثمّ أخذ غرفة من ماء فغسل بها یده الیسری، ثمّ مسح برأسه، ثمّ أخذ غرفة من ماء فرشّ علی رجله الیمنی حتّی غسلها، ثمّ أخذ غرفة أخری فغسل بها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رأیت رسول اللّٰه صلی الله علیه و آله یتوضّأ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أبی شیبة، حدثنا محمد بن بشر، حدّثنا هشام بن سعد، حدثنا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عطاء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لنا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تحبون أن أریکم کیف کان رسول اللّٰه صلی الله علیه و آله یتوضأ؟</w:t>
      </w:r>
    </w:p>
    <w:p>
      <w:pPr>
        <w:pStyle w:val="BookText"/>
        <w:rPr/>
      </w:pPr>
      <w:r>
        <w:rPr>
          <w:rFonts w:ascii="IRNazanin" w:hAnsi="IRNazanin" w:eastAsia="IRNazanin"/>
          <w:color w:val="111111"/>
          <w:sz w:val="28"/>
          <w:sz w:val="28"/>
          <w:szCs w:val="28"/>
          <w:rtl w:val="true"/>
          <w:lang w:bidi="fa-IR"/>
        </w:rPr>
        <w:t xml:space="preserve">فدعا بإناء فیه ماء؛ فاغترف غرفة بیده الیمنی، فتمضمض و استنشق، ثمّ أخذ أخری فجمع بها یدیه، ثمّ غسل وجهه، ثمّ أخذ أخری فغسل بها یده الیمنی، ثمّ أخذ أخری فغسل بها یده الیسری، ثمّ قبض قبضة من الماء ثمّ نفض یده ثمّ مسح بها رأسه و أُذُنیه، ثمّ قبض قبضة أُخری من الماء فرشَّ علی رجله الیمنی و فیها النعل ثمّ مسحها بیدیه؛ ید فوق القدم و ید تحت النعل، ثمّ صنع بالیسری مثل ذلک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مجاهد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عجلان، عن زید بن أسلم، عن عطاء بن یسار،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رسول اللّٰه صلی الله علیه و آله فغرف غرفة فمضمض و استنشق، ثمّ غرف غرفة فغسل وجهه، ثمّ غرف غرفة فغسل یده الیمنی، </w:t>
      </w:r>
    </w:p>
    <w:p>
      <w:pPr>
        <w:pStyle w:val="BookText"/>
        <w:rPr/>
      </w:pPr>
      <w:r>
        <w:rPr>
          <w:rFonts w:ascii="IRNazanin" w:hAnsi="IRNazanin" w:eastAsia="IRNazanin"/>
          <w:color w:val="111111"/>
          <w:sz w:val="28"/>
          <w:sz w:val="28"/>
          <w:szCs w:val="28"/>
          <w:rtl w:val="true"/>
          <w:lang w:bidi="fa-IR"/>
        </w:rPr>
        <w:t xml:space="preserve">ثمّ غرف غرفة فغسل یده الیسری، ثمّ مسح برأسه و أُذنیه باطنهما بالسباحتین و ظاهرهما بابهامیه، ثمّ غرف فغسل رجله الیمنی، ثمّ غرف غرفة فغسل رجله الیسری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الهیثم بن أیوب الطالقانی،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العزیز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أسلم، عن عطاء بن یسار،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توضّأ فغسل یدیه ثمّ تمضمض، و استنشق من غرفة واحدة و غسل وجهه و غسل یدیه مرّة مرة و مسح برأسه و أذنیه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مَنْ سمع ابن عجلان یقول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 رجلیه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الثانی و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عن ابن عباس</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حدثنا یزید بن هارون، أخبرنا عبّاد بن منصور، عن عکرمة بن خالد، عن سعید بن جبیر، عن ابن عباس رأی رسول اللّٰه صلی الله علیه و آله یتوضأ فذکر الحدیث کلّه ثلاثاً ثلاثاً، قال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مسح برأسه و أُذنیه مسحة واحدة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1" w:name="pg1276_10097"/>
    </w:p>
    <w:p>
      <w:pPr>
        <w:pStyle w:val="Heading4"/>
        <w:numPr>
          <w:ilvl w:val="3"/>
          <w:numId w:val="1"/>
        </w:numPr>
        <w:rPr/>
      </w:pPr>
      <w:bookmarkStart w:id="22" w:name="__RefHeading___Toc3231727_373438147"/>
      <w:bookmarkStart w:id="23" w:name="_Toc8"/>
      <w:bookmarkEnd w:id="21"/>
      <w:bookmarkEnd w:id="22"/>
      <w:r>
        <w:rPr>
          <w:rtl w:val="true"/>
        </w:rPr>
        <w:t>المناقشة السندیة</w:t>
      </w:r>
      <w:bookmarkEnd w:id="23"/>
    </w:p>
    <w:p>
      <w:pPr>
        <w:pStyle w:val="Heading5"/>
        <w:numPr>
          <w:ilvl w:val="4"/>
          <w:numId w:val="1"/>
        </w:numPr>
        <w:rPr/>
      </w:pPr>
      <w:bookmarkStart w:id="24" w:name="__RefHeading___Toc3231729_373438147"/>
      <w:bookmarkStart w:id="25" w:name="_Toc9"/>
      <w:bookmarkEnd w:id="24"/>
      <w:r>
        <w:rPr>
          <w:rtl w:val="true"/>
        </w:rPr>
        <w:t xml:space="preserve">فأمّا الإسناد </w:t>
      </w:r>
      <w:r>
        <w:rPr>
          <w:rtl w:val="true"/>
        </w:rPr>
        <w:t>«</w:t>
      </w:r>
      <w:r>
        <w:rPr>
          <w:rtl w:val="true"/>
        </w:rPr>
        <w:t>أ</w:t>
      </w:r>
      <w:r>
        <w:rPr>
          <w:rtl w:val="true"/>
        </w:rPr>
        <w:t>»</w:t>
      </w:r>
      <w:bookmarkEnd w:id="25"/>
    </w:p>
    <w:p>
      <w:pPr>
        <w:pStyle w:val="BookText"/>
        <w:rPr/>
      </w:pPr>
      <w:r>
        <w:rPr>
          <w:rFonts w:ascii="IRNazanin" w:hAnsi="IRNazanin" w:eastAsia="IRNazanin"/>
          <w:color w:val="111111"/>
          <w:sz w:val="28"/>
          <w:sz w:val="28"/>
          <w:szCs w:val="28"/>
          <w:rtl w:val="true"/>
          <w:lang w:bidi="fa-IR"/>
        </w:rPr>
        <w:t xml:space="preserve">ففیه سلیمان بن بلال الّذی أورده ابن حجر العسقلانی فی المطعونین من رجال الصحیح </w:t>
      </w:r>
      <w:r>
        <w:rPr>
          <w:rStyle w:val="FootnoteAnchor"/>
          <w:rtl w:val="true"/>
        </w:rPr>
        <w:footnoteReference w:id="7"/>
      </w:r>
      <w:r>
        <w:rPr>
          <w:rFonts w:ascii="IRNazanin" w:hAnsi="IRNazanin" w:eastAsia="IRNazanin"/>
          <w:color w:val="111111"/>
          <w:sz w:val="28"/>
          <w:sz w:val="28"/>
          <w:szCs w:val="28"/>
          <w:rtl w:val="true"/>
          <w:lang w:bidi="fa-IR"/>
        </w:rPr>
        <w:t xml:space="preserve">، و دافع عنه بحجة واهیة مفادها أنّ الجماعة اعتمدوا علیه، مع أنّ الحق هو أنه لیس مما یعتمد علی حدیثه کما نص علی ذلک عثمان بن أبی شیبة </w:t>
      </w:r>
      <w:r>
        <w:rPr>
          <w:rStyle w:val="FootnoteAnchor"/>
          <w:rtl w:val="true"/>
        </w:rPr>
        <w:footnoteReference w:id="8"/>
      </w:r>
      <w:r>
        <w:rPr>
          <w:rFonts w:ascii="IRNazanin" w:hAnsi="IRNazanin" w:eastAsia="IRNazanin"/>
          <w:color w:val="111111"/>
          <w:sz w:val="28"/>
          <w:sz w:val="28"/>
          <w:szCs w:val="28"/>
          <w:rtl w:val="true"/>
          <w:lang w:bidi="fa-IR"/>
        </w:rPr>
        <w:t>، و غایة ما یقال فیما یرویه أنّه لا یمکن الاحتجاج به إلّا بعد النظر و الاعتبار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الإسناد أیضاً زید بن أسلم الذی کان قلیل الحفظ </w:t>
      </w:r>
      <w:r>
        <w:rPr>
          <w:rStyle w:val="FootnoteAnchor"/>
          <w:rtl w:val="true"/>
        </w:rPr>
        <w:footnoteReference w:id="9"/>
      </w:r>
      <w:r>
        <w:rPr>
          <w:rFonts w:ascii="IRNazanin" w:hAnsi="IRNazanin" w:eastAsia="IRNazanin"/>
          <w:color w:val="111111"/>
          <w:sz w:val="28"/>
          <w:sz w:val="28"/>
          <w:szCs w:val="28"/>
          <w:rtl w:val="true"/>
          <w:lang w:bidi="fa-IR"/>
        </w:rPr>
        <w:t>، مع أنه هنا قد عنعن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أسلم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یصرّح بالسماع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المدلّسین، و قد دلّس عن أربعة من الصحابة </w:t>
      </w:r>
      <w:r>
        <w:rPr>
          <w:rStyle w:val="FootnoteAnchor"/>
          <w:rtl w:val="true"/>
        </w:rPr>
        <w:footnoteReference w:id="10"/>
      </w:r>
      <w:r>
        <w:rPr>
          <w:rFonts w:ascii="IRNazanin" w:hAnsi="IRNazanin" w:eastAsia="IRNazanin"/>
          <w:color w:val="111111"/>
          <w:sz w:val="28"/>
          <w:sz w:val="28"/>
          <w:szCs w:val="28"/>
          <w:rtl w:val="true"/>
          <w:lang w:bidi="fa-IR"/>
        </w:rPr>
        <w:t xml:space="preserve">، و المدلّس إذا عنعن سقطت روایته عن الحجیة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26" w:name="pg1276_10098"/>
    </w:p>
    <w:p>
      <w:pPr>
        <w:pStyle w:val="Heading5"/>
        <w:numPr>
          <w:ilvl w:val="4"/>
          <w:numId w:val="1"/>
        </w:numPr>
        <w:rPr/>
      </w:pPr>
      <w:bookmarkStart w:id="27" w:name="__RefHeading___Toc3231731_373438147"/>
      <w:bookmarkStart w:id="28" w:name="_Toc10"/>
      <w:bookmarkEnd w:id="26"/>
      <w:bookmarkEnd w:id="27"/>
      <w:r>
        <w:rPr>
          <w:rtl w:val="true"/>
        </w:rPr>
        <w:t xml:space="preserve">و أمّا الإسناد </w:t>
      </w:r>
      <w:r>
        <w:rPr>
          <w:rtl w:val="true"/>
        </w:rPr>
        <w:t>«</w:t>
      </w:r>
      <w:r>
        <w:rPr>
          <w:rtl w:val="true"/>
        </w:rPr>
        <w:t>ب</w:t>
      </w:r>
      <w:r>
        <w:rPr>
          <w:rtl w:val="true"/>
        </w:rPr>
        <w:t>»</w:t>
      </w:r>
      <w:bookmarkEnd w:id="28"/>
    </w:p>
    <w:p>
      <w:pPr>
        <w:pStyle w:val="BookText"/>
        <w:rPr/>
      </w:pPr>
      <w:r>
        <w:rPr>
          <w:rFonts w:ascii="IRNazanin" w:hAnsi="IRNazanin" w:eastAsia="IRNazanin"/>
          <w:color w:val="111111"/>
          <w:sz w:val="28"/>
          <w:sz w:val="28"/>
          <w:szCs w:val="28"/>
          <w:rtl w:val="true"/>
          <w:lang w:bidi="fa-IR"/>
        </w:rPr>
        <w:t>ففیه زید بن أسلم، و قد مرّت خلاصة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إنّ فیه هشام بن سعد، الذی لا یمکن أن یحتجّ به دون نظر و متابعة، إذ لم یوثّقه أحدٌ من الرجالیین، و غایة ما قالوه فیه أنّه ممدوح بما دون الوثاقة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 w:name="__RefHeading___Toc3231733_373438147"/>
      <w:bookmarkStart w:id="30" w:name="_Toc11"/>
      <w:bookmarkEnd w:id="29"/>
      <w:r>
        <w:rPr>
          <w:rtl w:val="true"/>
        </w:rPr>
        <w:t xml:space="preserve">و أمّا الإسناد </w:t>
      </w:r>
      <w:r>
        <w:rPr>
          <w:rtl w:val="true"/>
        </w:rPr>
        <w:t>«</w:t>
      </w:r>
      <w:r>
        <w:rPr>
          <w:rtl w:val="true"/>
        </w:rPr>
        <w:t>ج</w:t>
      </w:r>
      <w:r>
        <w:rPr>
          <w:rtl w:val="true"/>
        </w:rPr>
        <w:t>»</w:t>
      </w:r>
      <w:bookmarkEnd w:id="30"/>
    </w:p>
    <w:p>
      <w:pPr>
        <w:pStyle w:val="BookText"/>
        <w:rPr/>
      </w:pPr>
      <w:r>
        <w:rPr>
          <w:rFonts w:ascii="IRNazanin" w:hAnsi="IRNazanin" w:eastAsia="IRNazanin"/>
          <w:color w:val="111111"/>
          <w:sz w:val="28"/>
          <w:sz w:val="28"/>
          <w:szCs w:val="28"/>
          <w:rtl w:val="true"/>
          <w:lang w:bidi="fa-IR"/>
        </w:rPr>
        <w:t>ففیه زید بن أسلم أیضاً، و قد مرّت خلاصة حاله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إنّ فیه محمد بن عجلان الذی صرّح الإمام مالک بأنّه لم یکن یعرف الحدیث و الروایة </w:t>
      </w:r>
      <w:r>
        <w:rPr>
          <w:rStyle w:val="FootnoteAnchor"/>
          <w:rtl w:val="true"/>
        </w:rPr>
        <w:footnoteReference w:id="13"/>
      </w:r>
      <w:r>
        <w:rPr>
          <w:rFonts w:ascii="IRNazanin" w:hAnsi="IRNazanin" w:eastAsia="IRNazanin"/>
          <w:color w:val="111111"/>
          <w:sz w:val="28"/>
          <w:sz w:val="28"/>
          <w:szCs w:val="28"/>
          <w:rtl w:val="true"/>
          <w:lang w:bidi="fa-IR"/>
        </w:rPr>
        <w:t xml:space="preserve">، و لم یحتجّ به البخاری فی صحیحه بل نقل الذهبی عن البخاری أنه ذکره فی الضعفاء </w:t>
      </w:r>
      <w:r>
        <w:rPr>
          <w:rStyle w:val="FootnoteAnchor"/>
          <w:rtl w:val="true"/>
        </w:rPr>
        <w:footnoteReference w:id="14"/>
      </w:r>
      <w:r>
        <w:rPr>
          <w:rFonts w:ascii="IRNazanin" w:hAnsi="IRNazanin" w:eastAsia="IRNazanin"/>
          <w:color w:val="111111"/>
          <w:sz w:val="28"/>
          <w:sz w:val="28"/>
          <w:szCs w:val="28"/>
          <w:rtl w:val="true"/>
          <w:lang w:bidi="fa-IR"/>
        </w:rPr>
        <w:t xml:space="preserve">، و قد کان ابن عجلان سیّئ الحفظ غیر ضابطٍ </w:t>
      </w:r>
      <w:r>
        <w:rPr>
          <w:rStyle w:val="FootnoteAnchor"/>
          <w:rtl w:val="true"/>
        </w:rPr>
        <w:footnoteReference w:id="15"/>
      </w:r>
      <w:r>
        <w:rPr>
          <w:rFonts w:ascii="IRNazanin" w:hAnsi="IRNazanin" w:eastAsia="IRNazanin"/>
          <w:color w:val="111111"/>
          <w:sz w:val="28"/>
          <w:sz w:val="28"/>
          <w:szCs w:val="28"/>
          <w:rtl w:val="true"/>
          <w:lang w:bidi="fa-IR"/>
        </w:rPr>
        <w:t xml:space="preserve">و قد روی عن أناس لم یسمع منهم کالنعمان بن أبی عیاش </w:t>
      </w:r>
      <w:r>
        <w:rPr>
          <w:rStyle w:val="FootnoteAnchor"/>
          <w:rtl w:val="true"/>
        </w:rPr>
        <w:footnoteReference w:id="16"/>
      </w:r>
      <w:r>
        <w:rPr>
          <w:rFonts w:ascii="IRNazanin" w:hAnsi="IRNazanin" w:eastAsia="IRNazanin"/>
          <w:color w:val="111111"/>
          <w:sz w:val="28"/>
          <w:sz w:val="28"/>
          <w:szCs w:val="28"/>
          <w:rtl w:val="true"/>
          <w:lang w:bidi="fa-IR"/>
        </w:rPr>
        <w:t xml:space="preserve">و صالح مولی التوأمة </w:t>
      </w:r>
      <w:r>
        <w:rPr>
          <w:rStyle w:val="FootnoteAnchor"/>
          <w:rtl w:val="true"/>
        </w:rPr>
        <w:footnoteReference w:id="17"/>
      </w:r>
      <w:r>
        <w:rPr>
          <w:rFonts w:ascii="IRNazanin" w:hAnsi="IRNazanin" w:eastAsia="IRNazanin"/>
          <w:color w:val="111111"/>
          <w:sz w:val="28"/>
          <w:sz w:val="28"/>
          <w:szCs w:val="28"/>
          <w:rtl w:val="true"/>
          <w:lang w:bidi="fa-IR"/>
        </w:rPr>
        <w:t xml:space="preserve">، و قد عنعن فی هذه الروایة و لم یصرّح </w:t>
      </w:r>
      <w:bookmarkStart w:id="31" w:name="pg1276_10099"/>
    </w:p>
    <w:p>
      <w:pPr>
        <w:pStyle w:val="BookText"/>
        <w:rPr/>
      </w:pPr>
      <w:bookmarkEnd w:id="31"/>
      <w:r>
        <w:rPr>
          <w:rFonts w:ascii="IRNazanin" w:hAnsi="IRNazanin" w:eastAsia="IRNazanin"/>
          <w:color w:val="111111"/>
          <w:sz w:val="28"/>
          <w:sz w:val="28"/>
          <w:szCs w:val="28"/>
          <w:rtl w:val="true"/>
          <w:lang w:bidi="fa-IR"/>
        </w:rPr>
        <w:t xml:space="preserve">بالسماع من زید بن أسلم هنا و لا فی مکان آخر </w:t>
      </w:r>
      <w:r>
        <w:rPr>
          <w:rStyle w:val="FootnoteAnchor"/>
          <w:rtl w:val="true"/>
        </w:rPr>
        <w:footnoteReference w:id="18"/>
      </w:r>
      <w:r>
        <w:rPr>
          <w:rFonts w:ascii="IRNazanin" w:hAnsi="IRNazanin" w:eastAsia="IRNazanin"/>
          <w:color w:val="111111"/>
          <w:sz w:val="28"/>
          <w:sz w:val="28"/>
          <w:szCs w:val="28"/>
          <w:rtl w:val="true"/>
          <w:lang w:bidi="fa-IR"/>
        </w:rPr>
        <w:t>، فتسقط روایته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کل ذلک أنّ هذا الرجل بقی ثلاثة أو أربعة أعوام فی بطن أمّه حتّی نبتت أسنانه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تزوّج امرأة فی الاسکندریة فأتاها فی دبرها، فشکته إلی أهلها فشاع ذلک، فصاحوا به فخرج من الاسکندریة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3231735_373438147"/>
      <w:bookmarkStart w:id="33" w:name="_Toc12"/>
      <w:bookmarkEnd w:id="32"/>
      <w:r>
        <w:rPr>
          <w:rtl w:val="true"/>
        </w:rPr>
        <w:t xml:space="preserve">و أمّا الإسناد </w:t>
      </w:r>
      <w:r>
        <w:rPr>
          <w:rtl w:val="true"/>
        </w:rPr>
        <w:t>«</w:t>
      </w:r>
      <w:r>
        <w:rPr>
          <w:rtl w:val="true"/>
        </w:rPr>
        <w:t>د</w:t>
      </w:r>
      <w:r>
        <w:rPr>
          <w:rtl w:val="true"/>
        </w:rPr>
        <w:t>»</w:t>
      </w:r>
      <w:bookmarkEnd w:id="33"/>
    </w:p>
    <w:p>
      <w:pPr>
        <w:pStyle w:val="BookText"/>
        <w:rPr/>
      </w:pPr>
      <w:r>
        <w:rPr>
          <w:rFonts w:ascii="IRNazanin" w:hAnsi="IRNazanin" w:eastAsia="IRNazanin"/>
          <w:color w:val="111111"/>
          <w:sz w:val="28"/>
          <w:sz w:val="28"/>
          <w:szCs w:val="28"/>
          <w:rtl w:val="true"/>
          <w:lang w:bidi="fa-IR"/>
        </w:rPr>
        <w:t>ففیه زید بن أسلم أیضاً، و قد مرّت خلاصة حاله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إنّ فیه عبد العزیز الدراوردی، السیئ الحفظ </w:t>
      </w:r>
      <w:r>
        <w:rPr>
          <w:rStyle w:val="FootnoteAnchor"/>
          <w:rtl w:val="true"/>
        </w:rPr>
        <w:footnoteReference w:id="21"/>
      </w:r>
      <w:r>
        <w:rPr>
          <w:rFonts w:ascii="Amiri" w:hAnsi="Amiri" w:eastAsia="Amiri" w:cs="Amiri"/>
          <w:color w:val="111111"/>
          <w:sz w:val="28"/>
          <w:sz w:val="28"/>
          <w:szCs w:val="28"/>
          <w:rtl w:val="true"/>
          <w:lang w:bidi="ar-SA"/>
        </w:rPr>
        <w:t xml:space="preserve">الکثیر الوَهَم </w:t>
      </w:r>
      <w:r>
        <w:rPr>
          <w:rStyle w:val="FootnoteAnchor"/>
          <w:rtl w:val="true"/>
        </w:rPr>
        <w:footnoteReference w:id="22"/>
      </w:r>
      <w:r>
        <w:rPr>
          <w:rFonts w:ascii="IRNazanin" w:hAnsi="IRNazanin" w:eastAsia="IRNazanin"/>
          <w:color w:val="111111"/>
          <w:sz w:val="28"/>
          <w:sz w:val="28"/>
          <w:szCs w:val="28"/>
          <w:rtl w:val="true"/>
          <w:lang w:bidi="fa-IR"/>
        </w:rPr>
        <w:t xml:space="preserve">، الذی صرّح الإمام أحمد بن حنبل بأنّه إذا حدّث من حفظه جاء ببواطیل </w:t>
      </w:r>
      <w:r>
        <w:rPr>
          <w:rStyle w:val="FootnoteAnchor"/>
          <w:rtl w:val="true"/>
        </w:rPr>
        <w:footnoteReference w:id="23"/>
      </w:r>
      <w:r>
        <w:rPr>
          <w:rFonts w:ascii="IRNazanin" w:hAnsi="IRNazanin" w:eastAsia="IRNazanin"/>
          <w:color w:val="111111"/>
          <w:sz w:val="28"/>
          <w:sz w:val="28"/>
          <w:szCs w:val="28"/>
          <w:rtl w:val="true"/>
          <w:lang w:bidi="fa-IR"/>
        </w:rPr>
        <w:t xml:space="preserve">، و الذی کان یلحن لحناً منکراً </w:t>
      </w:r>
      <w:r>
        <w:rPr>
          <w:rStyle w:val="FootnoteAnchor"/>
          <w:rtl w:val="true"/>
        </w:rPr>
        <w:footnoteReference w:id="24"/>
      </w:r>
      <w:r>
        <w:rPr>
          <w:rFonts w:ascii="IRNazanin" w:hAnsi="IRNazanin" w:eastAsia="IRNazanin"/>
          <w:color w:val="111111"/>
          <w:sz w:val="28"/>
          <w:sz w:val="28"/>
          <w:szCs w:val="28"/>
          <w:rtl w:val="true"/>
          <w:lang w:bidi="fa-IR"/>
        </w:rPr>
        <w:t xml:space="preserve">، و الذی صرّح أبو حاتم الرازی بأنّه لا یحتج به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34" w:name="pg1276_10100"/>
    </w:p>
    <w:p>
      <w:pPr>
        <w:pStyle w:val="Heading5"/>
        <w:numPr>
          <w:ilvl w:val="4"/>
          <w:numId w:val="1"/>
        </w:numPr>
        <w:rPr/>
      </w:pPr>
      <w:bookmarkStart w:id="35" w:name="__RefHeading___Toc3231737_373438147"/>
      <w:bookmarkStart w:id="36" w:name="_Toc13"/>
      <w:bookmarkEnd w:id="34"/>
      <w:bookmarkEnd w:id="35"/>
      <w:r>
        <w:rPr>
          <w:rtl w:val="true"/>
        </w:rPr>
        <w:t>و أمّا الطریق الثانی و سنده</w:t>
      </w:r>
      <w:bookmarkEnd w:id="36"/>
    </w:p>
    <w:p>
      <w:pPr>
        <w:pStyle w:val="BookText"/>
        <w:rPr/>
      </w:pPr>
      <w:r>
        <w:rPr>
          <w:rFonts w:ascii="IRNazanin" w:hAnsi="IRNazanin" w:eastAsia="IRNazanin"/>
          <w:color w:val="111111"/>
          <w:sz w:val="28"/>
          <w:sz w:val="28"/>
          <w:szCs w:val="28"/>
          <w:rtl w:val="true"/>
          <w:lang w:bidi="fa-IR"/>
        </w:rPr>
        <w:t xml:space="preserve">ففیه الحسن بن علی، و هو مردّد بین الواسطی و الخلّال الحلوانی </w:t>
      </w:r>
      <w:r>
        <w:rPr>
          <w:rStyle w:val="FootnoteAnchor"/>
          <w:rtl w:val="true"/>
        </w:rPr>
        <w:footnoteReference w:id="26"/>
      </w:r>
      <w:r>
        <w:rPr>
          <w:rFonts w:ascii="IRNazanin" w:hAnsi="IRNazanin" w:eastAsia="IRNazanin"/>
          <w:color w:val="111111"/>
          <w:sz w:val="28"/>
          <w:sz w:val="28"/>
          <w:szCs w:val="28"/>
          <w:rtl w:val="true"/>
          <w:lang w:bidi="fa-IR"/>
        </w:rPr>
        <w:t xml:space="preserve">، و قد صرّح السهارنفوری فی بذل المجهود بأنّه الخلّال الحلوانیّ </w:t>
      </w:r>
      <w:r>
        <w:rPr>
          <w:rStyle w:val="FootnoteAnchor"/>
          <w:rtl w:val="true"/>
        </w:rPr>
        <w:footnoteReference w:id="27"/>
      </w:r>
      <w:r>
        <w:rPr>
          <w:rFonts w:ascii="IRNazanin" w:hAnsi="IRNazanin" w:eastAsia="IRNazanin"/>
          <w:color w:val="111111"/>
          <w:sz w:val="28"/>
          <w:sz w:val="28"/>
          <w:szCs w:val="28"/>
          <w:rtl w:val="true"/>
          <w:lang w:bidi="fa-IR"/>
        </w:rPr>
        <w:t xml:space="preserve">، الذی صرّح الإمام أحمد بأنّ أهل الثغر غیر راضین عنه، و أنّه لا یعرفه بطلب الحدیث و لا رآه یطلب الحدیث </w:t>
      </w:r>
      <w:r>
        <w:rPr>
          <w:rStyle w:val="FootnoteAnchor"/>
          <w:rtl w:val="true"/>
        </w:rPr>
        <w:footnoteReference w:id="28"/>
      </w:r>
      <w:r>
        <w:rPr>
          <w:rFonts w:ascii="IRNazanin" w:hAnsi="IRNazanin" w:eastAsia="IRNazanin"/>
          <w:color w:val="111111"/>
          <w:sz w:val="28"/>
          <w:sz w:val="28"/>
          <w:szCs w:val="28"/>
          <w:rtl w:val="true"/>
          <w:lang w:bidi="fa-IR"/>
        </w:rPr>
        <w:t>، و لمّا سُئل أبو سلمة بن شبیب عن علم الحلوانی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فی الحُشّ </w:t>
      </w:r>
      <w:r>
        <w:rPr>
          <w:rStyle w:val="FootnoteAnchor"/>
          <w:rtl w:val="true"/>
        </w:rPr>
        <w:footnoteReference w:id="29"/>
      </w:r>
      <w:r>
        <w:rPr>
          <w:rFonts w:ascii="IRNazanin" w:hAnsi="IRNazanin" w:eastAsia="IRNazanin"/>
          <w:color w:val="111111"/>
          <w:sz w:val="28"/>
          <w:sz w:val="28"/>
          <w:szCs w:val="28"/>
          <w:rtl w:val="true"/>
          <w:lang w:bidi="fa-IR"/>
        </w:rPr>
        <w:t>، و أحسن ما یقال عنه أنّه یُتوقّف و ینظر فیه، فإذا عارضه الثقات فإنه لا یحتج بما یروی، و سیأتیک أنّ الثقات لم یرووا عن ابن عباس إلّا المسح</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إنّ فی هذا الإسناد عباد بن منصور، الذی کان قدریّاً </w:t>
      </w:r>
      <w:r>
        <w:rPr>
          <w:rStyle w:val="FootnoteAnchor"/>
          <w:rtl w:val="true"/>
        </w:rPr>
        <w:footnoteReference w:id="30"/>
      </w:r>
      <w:r>
        <w:rPr>
          <w:rFonts w:ascii="IRNazanin" w:hAnsi="IRNazanin" w:eastAsia="IRNazanin"/>
          <w:color w:val="111111"/>
          <w:sz w:val="28"/>
          <w:sz w:val="28"/>
          <w:szCs w:val="28"/>
          <w:rtl w:val="true"/>
          <w:lang w:bidi="fa-IR"/>
        </w:rPr>
        <w:t xml:space="preserve">، بل داعیة إلی مذهب القدر کما صرّح بذلک ابن حبّان </w:t>
      </w:r>
      <w:r>
        <w:rPr>
          <w:rStyle w:val="FootnoteAnchor"/>
          <w:rtl w:val="true"/>
        </w:rPr>
        <w:footnoteReference w:id="31"/>
      </w:r>
      <w:r>
        <w:rPr>
          <w:rFonts w:ascii="Amiri" w:hAnsi="Amiri" w:eastAsia="Amiri" w:cs="Amiri"/>
          <w:color w:val="111111"/>
          <w:sz w:val="28"/>
          <w:sz w:val="28"/>
          <w:szCs w:val="28"/>
          <w:rtl w:val="true"/>
          <w:lang w:bidi="ar-SA"/>
        </w:rPr>
        <w:t xml:space="preserve">، و الداعیةُ لا یحتجّ به أصلًا </w:t>
      </w:r>
      <w:r>
        <w:rPr>
          <w:rStyle w:val="FootnoteAnchor"/>
          <w:rtl w:val="true"/>
        </w:rPr>
        <w:footnoteReference w:id="32"/>
      </w:r>
      <w:r>
        <w:rPr>
          <w:rFonts w:ascii="Amiri" w:hAnsi="Amiri" w:eastAsia="Amiri" w:cs="Amiri"/>
          <w:color w:val="111111"/>
          <w:sz w:val="28"/>
          <w:sz w:val="28"/>
          <w:szCs w:val="28"/>
          <w:rtl w:val="true"/>
          <w:lang w:bidi="ar-SA"/>
        </w:rPr>
        <w:t xml:space="preserve">، کما أنّه کان مدلّساً </w:t>
      </w:r>
      <w:r>
        <w:rPr>
          <w:rStyle w:val="FootnoteAnchor"/>
          <w:rtl w:val="true"/>
        </w:rPr>
        <w:footnoteReference w:id="33"/>
      </w:r>
      <w:r>
        <w:rPr>
          <w:rFonts w:ascii="Amiri" w:hAnsi="Amiri" w:eastAsia="Amiri" w:cs="Amiri"/>
          <w:color w:val="111111"/>
          <w:sz w:val="28"/>
          <w:sz w:val="28"/>
          <w:szCs w:val="28"/>
          <w:rtl w:val="true"/>
          <w:lang w:bidi="ar-SA"/>
        </w:rPr>
        <w:t xml:space="preserve">، و قد تغیَّر بأَخَرَة </w:t>
      </w:r>
      <w:r>
        <w:rPr>
          <w:rStyle w:val="FootnoteAnchor"/>
          <w:rtl w:val="true"/>
        </w:rPr>
        <w:footnoteReference w:id="34"/>
      </w:r>
      <w:r>
        <w:rPr>
          <w:rFonts w:ascii="IRNazanin" w:hAnsi="IRNazanin" w:eastAsia="IRNazanin"/>
          <w:color w:val="111111"/>
          <w:sz w:val="28"/>
          <w:sz w:val="28"/>
          <w:szCs w:val="28"/>
          <w:rtl w:val="true"/>
          <w:lang w:bidi="fa-IR"/>
        </w:rPr>
        <w:t xml:space="preserve">، و قد قال بشّار عواد </w:t>
      </w:r>
      <w:bookmarkStart w:id="37" w:name="pg1276_10101"/>
    </w:p>
    <w:p>
      <w:pPr>
        <w:pStyle w:val="BookText"/>
        <w:rPr/>
      </w:pPr>
      <w:bookmarkEnd w:id="37"/>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ضعّفه یحیی بن معین، و أبو زرعة، و أبو حاتم الرازیان، و العقیلی، و أبو داود، و النسائی، و ابن سعد، و أبو بکر بن أبی شیبة، و وهب بن جریر، و علی بن المدینی، و إبراهیم بن یعقوب الجوزجانی، و یعقوب بن سفیان، و ابن حبان … فهذا بحکم المجمع علی تضعیفه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 هذه الأسانید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المنتظِمة تحت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رواتها، واضحٌ عدم صلاحها لإلقاء عهدة الوضوء الغسلی علی عاتق ابن عباس و هو منه براء، إذ الثابت بالأسانید الصحیحة أنّ ابن عباس کان یروی الوضوء الثنائی المسحی عن رسول اللّٰه صلی الله علیه و آله لا غیر</w:t>
      </w:r>
      <w:r>
        <w:rPr>
          <w:rFonts w:eastAsia="IRNazanin" w:cs="IRNazanin"/>
          <w:color w:val="111111"/>
          <w:sz w:val="28"/>
          <w:szCs w:val="28"/>
          <w:rtl w:val="true"/>
          <w:lang w:bidi="fa-IR"/>
        </w:rPr>
        <w:t>.</w:t>
      </w:r>
    </w:p>
    <w:p>
      <w:pPr>
        <w:pStyle w:val="Heading4"/>
        <w:numPr>
          <w:ilvl w:val="3"/>
          <w:numId w:val="1"/>
        </w:numPr>
        <w:rPr/>
      </w:pPr>
      <w:bookmarkStart w:id="38" w:name="__RefHeading___Toc3231739_373438147"/>
      <w:bookmarkStart w:id="39" w:name="_Toc14"/>
      <w:bookmarkEnd w:id="38"/>
      <w:r>
        <w:rPr>
          <w:rtl w:val="true"/>
        </w:rPr>
        <w:t>المناقشة الدلالیة</w:t>
      </w:r>
      <w:bookmarkEnd w:id="3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المتتبع لمرویّات زید بن أسلم عن عطاء الغسلیّة، یشاهد الاضطراب واضحاً فیها؛ إذ ورد فی إسناد أبی داود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هشام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قبض قبضة أخری من الماء فرشّ علی رجله الیمنی و فیها النعل، ثمّ مسحها بیدیه، ید فوق القدم و ید تحت النعل، ثمّ صنع </w:t>
      </w:r>
    </w:p>
    <w:p>
      <w:pPr>
        <w:pStyle w:val="BookText"/>
        <w:rPr/>
      </w:pPr>
      <w:r>
        <w:rPr>
          <w:rFonts w:ascii="IRNazanin" w:hAnsi="IRNazanin" w:eastAsia="IRNazanin"/>
          <w:color w:val="111111"/>
          <w:sz w:val="28"/>
          <w:sz w:val="28"/>
          <w:szCs w:val="28"/>
          <w:rtl w:val="true"/>
          <w:lang w:bidi="fa-IR"/>
        </w:rPr>
        <w:t xml:space="preserve">و علیه النعلان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البخاری بسنده إلی سلیمان بن بلال، عن زید بن أسلم، عن عطاء، عن ابن عبّاس أنّه رشّ علی رجله الیمنی حتّی غسلها، ثمّ أخذ غرفة أخری فغسل بها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النّسائی بسنده إلی الدراوردی، عن زید بن أسلم، عن عطاء، عن ابن عبّاس خبر الوضوء، و لیس فیه ذکر للقدمین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الطحاوی بسنده إلی الدراوردی أیضاً عن زید بن أسلم، عن عطاء بن یسار،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رسول اللّٰه صلی الله علیه و آله فأخذ مل‌ء کفّه ماء فرشّ به علی قدمیه و هو متنعّل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 رواه هشام بن سعد عن زید بن أسلم عن عطاء إذن لا یتّفق </w:t>
      </w:r>
    </w:p>
    <w:p>
      <w:pPr>
        <w:pStyle w:val="BookText"/>
        <w:rPr/>
      </w:pPr>
      <w:r>
        <w:rPr>
          <w:rFonts w:ascii="IRNazanin" w:hAnsi="IRNazanin" w:eastAsia="IRNazanin"/>
          <w:color w:val="111111"/>
          <w:sz w:val="28"/>
          <w:sz w:val="28"/>
          <w:szCs w:val="28"/>
          <w:rtl w:val="true"/>
          <w:lang w:bidi="fa-IR"/>
        </w:rPr>
        <w:t xml:space="preserve">مع ما أخرجه البخاری عن سلیمان بن بلال عن زید بن أسلم، لأنّ الموجود فی خبر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علی رجله الیمنی و فیها النّعل ثمّ مسحها بیدیه، ید فوق القدم و ید تحت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خبر سلیمان بن بلال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غرفة من ماء فرشّ علی رجله الیمنی حتی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المسح غیر الغسل فی لغة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روایة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تکن ظاهرة فی مسح الرجلین بماء جدید، فهی لیست ظاهرة فی غسلهما، و لذلک حاول بعض الأعلام جاهدین صرف هذا الظهور و حمله علی الغسل بوجوه بعیدة و احتمالات متکلفة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اضطراباً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الطریق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 و هذا الاضطراب یُستشعر بملاحظة متونهِ المتضاربة المتنافیة الّتی لا یمکن ترجیح بعضها علی بعض، و وجوه الاضطراب کالآتی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أخرجه أبو داود من أنّ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علی رجلهِ الیمنی و فیها النعل ثمّ مسحها بیدیه، ید فوق القدم و ید تحت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 لا یمکن الأخذ به، لکون مسح ابن عبّاس رجله الیمنی تحت النعل یستلزم أن یکون المُوضَّأ النَّعل لا الرجل، أی أن المسح یکون لظاهر القدم و أسفل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مضافاً إلی أنّ إحدی الیدین إذا کانت تحت النعل فلا یبقی مجال لصدق غسل الرِّجل بکلتا یدیه، فالتفصیل إذن ینافی الإجمال، لأنّ الإجمال یدّعی مسح الرجل بالیدین معاً و التفصیل یضع إحدی الیدین علی القدم و الأخری تحت النعل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مبتن علی المجاز، فیکون المقصود من أنّ یده الثانیة تحت النعل، أی تحت موضع النعل، و هو أسفل القدم و باطنها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هکذا،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هو الحقیقة، و لا یقال بالمجاز إلّا بدلیل أو قرینة حالیة أو مقالیة، و الجمیع مفقود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القید الأخیر فی خبر هشام الذی رواه 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فوق القدم و ید تحت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روایة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بأسفل النعلین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حکم لم یقل به أحد من فقهاء الإسلام، لأنّ الثّابت عندهم هو عدم جواز المسح علی ظاهر النعلین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هما نعلانِ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بأسفلهما؟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صرّح ابن حجر فی الفتح، و صاحبا عون المعبود و بذل المجهود، بأنّ هذه الروایة إن لم تحمل علی التجوّز عن القدم فهی شاذة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رواه أبو داود و الحاکم و الطبرانی جمیعاً عن زید بن أسلم، عن عطاء، من أنّ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ثمّ 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یخالف ما ذکره البخاری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حتّی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اضطراب واضح فی النقل عن زید بن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أبی داود و الحاکم و الطبرانی و الطحاوی ذکرت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قدمی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عن صفة قدمی النّبی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کانتا فی النعل، و أما روایة البخاری فهی خالیة عن ذکر النعلین، و هذا الاختلال فی متن روایة طریقها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زید بن أسلم عن عطاء عن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یسقطها عن الحجیة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رواه النّسائی من روایة الدراوردی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روایة خالیة من حکم الرجلین، و هی لا تتفق مع ما روی عن ابن عبّاس من مسحه ما تحت النعلین تارة، و غسله للقدمین أخری، و مسحه لهما ثالثة و … کما أنّها لا تتفق مع ما أخرجه الطحاوی عن الدراوردی أیضاً من أنّ ابن عبّاس نقل هذا الوضوء عن النّبی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صلی الله علیه و آله رشّ علی قدمیه و هو متنعّل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یُذکر فیها مسح و لا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لعمری عین الاضطراب الّذی یعنیه علماء الدرایة فی بحوثهم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الإنصاف إنّ الاستدلال بما رواه زید بن أسلم، عن عطاء، عن ابن عبّاس فی الغسل من أشکل المشکلات سنداً و متناً، و لعلّ هذا هو الّذی حدا بابن حجر و غیره من الأعلام أن یتردّدوا بما رواه أبو داود فی الإسناد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سعد، لأنّ شدّة الاضطراب فی المتن جعلتهم یتوقفون عن البتّ بضرس قاطع فی معناها، بل جدّوا فی تأویلها و القول بأنّ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یده الأخری تحت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استعمال مجازی للکلمة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أرید منه باطن القدم، فلو کانوا جازمین بما یقولون لَما تردّدوا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تکون الروایات الغسلیّة عن ابن عبّاس مضطربة متناً، و هذا الاضطراب ما یُستشعر من کلام ابن حجر حیث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یحمل علی التجوّز عن القدم، و إلّا فهی روایة شاذّة، و راویها هشام بن سعد لا یحتجّ بما تفرّد به، فکیف إذا خالف</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البیهقی نقل خبر هشام و الروایات الغسلیّة عن ابن عبّاس،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فهذه الروایات اتفقت علی أنّه غسلهما، و حدیث الدراوردی یحتمل أن یکون موافقاً، بأن یکون غسلهما فی النّعل، و هشام بن سعد لیس بالحافظ جداً فلا یقبل منه ما یخالف فیه الثقات الأثبات، کیف و هم عدد و هو واحد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علّق ابن الترکمانی علی قول البیهقی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هشام أیضاً یحتمل أن یکون موافقاً لها؛ بأن یکون غسلهما فی النعل، فلا وجه لإفراده بأنّه خالف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أفرده لأنّ فی حدیثه قرینة تمنع من التأویل بالغسل، و 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بأسفل الکعبین</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 بینهما فی باب المسح علی النعل و أوّلت الحدیثین بهذا التأویل؛ حیث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عبد العزیز و هشام عن زید، فحکیا فی الحدیث رشّاً علی الرجل و فیه النعل، و ذلک یحتمل أن یکون غسلهما فی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العدد الکثیر أولی بالحفظ من العدد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فأحدُ الأمرین یلزمک إمّا جمعهما بهذا التأویل فی کتاب المعرفة فی هذا الباب، بخلاف ما فعل هاهنا </w:t>
      </w:r>
      <w:r>
        <w:rPr>
          <w:rStyle w:val="FootnoteAnchor"/>
          <w:rtl w:val="true"/>
        </w:rPr>
        <w:footnoteReference w:id="4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البحث من الأعلام فی وجه دلالة خبر هشام یؤکّد اضطرابه، </w:t>
      </w:r>
    </w:p>
    <w:p>
      <w:pPr>
        <w:pStyle w:val="BookText"/>
        <w:rPr/>
      </w:pPr>
      <w:r>
        <w:rPr>
          <w:rFonts w:ascii="IRNazanin" w:hAnsi="IRNazanin" w:eastAsia="IRNazanin"/>
          <w:color w:val="111111"/>
          <w:sz w:val="28"/>
          <w:sz w:val="28"/>
          <w:szCs w:val="28"/>
          <w:rtl w:val="true"/>
          <w:lang w:bidi="fa-IR"/>
        </w:rPr>
        <w:t>و نحن لا نری وجهاً لکلام ابن الترکمانی بعد أن عرفنا توقّف ابن حجر و البیهقی و غیرهما فی الخبر، و هم أدقّ من ابن الترکمانی روایةً و أکثر إحاطة بوجوه التأویل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یعد خافیاً علیک أنّ ما رواه زید بن أسلم مضطرب متناً؛ لاختلاف متون الروایات الّتی رواها عنه الرواة، خصوصاً فی مورد النزاع و الاختلاف؛ و هو مسح أو غسل الرجلین، و هذا الاضطراب کافٍ فی التوقف عن الاحتجاج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عارضَتْ هذهِ الروایاتِ روایةُ المسح الّتی هی أصح سنداً و أصرح دلالة، کان لا مَفَرَّ من الحکم بکونها مرجوحة من جمیع الجهات، و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رواه زید بن أسلم لا یعدو أن یکون شاذاً أو منکراً، و بخاصة لو لاحظنا أن سیرة ابن عبّاس المقطوع بها هی المسح لا الغسل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لتقف علی حقیقة الحال فإلیک بعض أسانید الوضوء الثنائی المسحی عن ابن عباس، و تصریحات کبار علماء العامّة بأنّ مذهبه المسح لا الغسل المدّعی</w:t>
      </w:r>
      <w:r>
        <w:rPr>
          <w:rFonts w:eastAsia="IRNazanin" w:cs="IRNazanin"/>
          <w:color w:val="111111"/>
          <w:sz w:val="28"/>
          <w:szCs w:val="28"/>
          <w:rtl w:val="true"/>
          <w:lang w:bidi="fa-IR"/>
        </w:rPr>
        <w:t xml:space="preserve">. </w:t>
      </w:r>
      <w:bookmarkStart w:id="40" w:name="pg1276_10108"/>
    </w:p>
    <w:p>
      <w:pPr>
        <w:pStyle w:val="Heading2"/>
        <w:numPr>
          <w:ilvl w:val="1"/>
          <w:numId w:val="1"/>
        </w:numPr>
        <w:rPr/>
      </w:pPr>
      <w:bookmarkStart w:id="41" w:name="__RefHeading___Toc3231741_373438147"/>
      <w:bookmarkStart w:id="42" w:name="_Toc15"/>
      <w:bookmarkEnd w:id="40"/>
      <w:bookmarkEnd w:id="41"/>
      <w:r>
        <w:rPr>
          <w:rtl w:val="true"/>
        </w:rPr>
        <w:t>المناقشة السندیة و الدلالیة للروایات المسحیة</w:t>
      </w:r>
      <w:bookmarkEnd w:id="42"/>
    </w:p>
    <w:p>
      <w:pPr>
        <w:pStyle w:val="Heading3"/>
        <w:numPr>
          <w:ilvl w:val="2"/>
          <w:numId w:val="1"/>
        </w:numPr>
        <w:rPr/>
      </w:pPr>
      <w:bookmarkStart w:id="43" w:name="__RefHeading___Toc3231743_373438147"/>
      <w:bookmarkStart w:id="44" w:name="_Toc16"/>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لقد اتفقت الروایات الثنائیة المسحیة عن ابن عباس علی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غسلتان و مسحتان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افترض اللّٰه غسلتین و مسحتین، أ لا تری أنّه ذکر التیمّم فجعل مکان الغسلتین مسحتین و ترک المسحتین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یأبی الناس إلّا الغسل، و نجد فی کتاب اللّٰه المسح یعنی 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أجد فی کتاب اللّٰه إلّا 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علمنا فی کتاب اللّٰه إلّا غسلتین و مسحتین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روی العامّة ذلک عن ابن عباس بأسانید صحاح بل بعضها علی شرط البخاری لکنّه لم یروها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هذه الأسانید</w:t>
      </w:r>
      <w:r>
        <w:rPr>
          <w:rFonts w:eastAsia="IRNazanin" w:cs="IRNazanin"/>
          <w:color w:val="111111"/>
          <w:sz w:val="28"/>
          <w:szCs w:val="28"/>
          <w:rtl w:val="true"/>
          <w:lang w:bidi="fa-IR"/>
        </w:rPr>
        <w:t>.</w:t>
      </w:r>
    </w:p>
    <w:p>
      <w:pPr>
        <w:pStyle w:val="Heading3"/>
        <w:numPr>
          <w:ilvl w:val="2"/>
          <w:numId w:val="1"/>
        </w:numPr>
        <w:rPr/>
      </w:pPr>
      <w:bookmarkStart w:id="45" w:name="__RefHeading___Toc3231745_373438147"/>
      <w:bookmarkStart w:id="46" w:name="_Toc17"/>
      <w:bookmarkEnd w:id="45"/>
      <w:r>
        <w:rPr>
          <w:rtl w:val="true"/>
        </w:rPr>
        <w:t>الروایات المسحیة</w:t>
      </w:r>
      <w:bookmarkEnd w:id="46"/>
    </w:p>
    <w:p>
      <w:pPr>
        <w:pStyle w:val="Heading4"/>
        <w:numPr>
          <w:ilvl w:val="3"/>
          <w:numId w:val="1"/>
        </w:numPr>
        <w:rPr/>
      </w:pPr>
      <w:bookmarkStart w:id="47" w:name="__RefHeading___Toc3231747_373438147"/>
      <w:bookmarkStart w:id="48" w:name="_Toc18"/>
      <w:bookmarkEnd w:id="47"/>
      <w:r>
        <w:rPr>
          <w:rtl w:val="true"/>
        </w:rPr>
        <w:t>اشارة</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دینار أنّه سمع عکرمة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غسلتان و مسحتان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الرزاق، عن معمر، عن قتادة، عن جابر بن یزید أو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افترض اللّٰه غسلتین و مسحتین، أ لا تری أنّه ذکر التیمم فجعل مکان الغسلتین مسحتین و ترک المسحتین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 لمطر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علی الرجلین؟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کثیر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الرزاق، عن معمر، عن عبد اللّه بن محمد بن عقیل، عن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غسل قدمیه ثلاثاً، ثمّ قالت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قد دخل علیّ فسألنی عن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الناس إلّا الغسل، و نجد فی کتاب للّٰه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القدمین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علیة، عن روح بن القاسم، عن عبد اللّه بن محمد بن عقیل، عن الربیع بنت المعوذ بن عفراء،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ابن عبّاس فسألنی عن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حدیثها الذی ذکرت أنّها رأت النبیّ توضأ، و أنّه غسل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الناس إلّا الغسل و لا أجد فی کتاب اللّٰه إلّا المسح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ماجة مثله، و فی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حَسَنٌ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w:t>
      </w:r>
    </w:p>
    <w:p>
      <w:pPr>
        <w:pStyle w:val="BookText"/>
        <w:rPr/>
      </w:pPr>
      <w:r>
        <w:rPr>
          <w:rFonts w:ascii="IRNazanin" w:hAnsi="IRNazanin" w:eastAsia="IRNazanin"/>
          <w:color w:val="111111"/>
          <w:sz w:val="28"/>
          <w:sz w:val="28"/>
          <w:szCs w:val="28"/>
          <w:rtl w:val="true"/>
          <w:lang w:bidi="fa-IR"/>
        </w:rPr>
        <w:t>عقیل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أرسلنی علیّ بن الحسین إلی الربیع بنت المعوذ بن عفراء، أسألها عن وضوء رسول اللّٰه صلی الله علیه و آله و کان یتوضّأ عندها، فأتیتُها فأخرجت إلیّ إناءً یکون مدّاً أو مدّاً و 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 و 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 بنی هاشم،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کنت أخرج لرسول اللّٰه صلی الله علیه و آله الوضوء فیبدأ فیغسل یدیه ثلاثاً قبل أن یدخلهما الإناء، ثمّ یتمضمض و یستنثر ثلاثاً ثلاثاً، و یغسل وجهه ثلاثاً، ثمّ یغسل یدیه ثلاثاً ثلاثاً، ثمّ یمسح برأسه مقبلًا و مدبراً، و یغسل رجلیه ثلاثاً ثلاثاً،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جاءنی ابن عمتک </w:t>
      </w:r>
      <w:r>
        <w:rPr>
          <w:rStyle w:val="FootnoteAnchor"/>
          <w:rtl w:val="true"/>
        </w:rPr>
        <w:footnoteReference w:id="48"/>
      </w:r>
      <w:r>
        <w:rPr>
          <w:rFonts w:ascii="IRNazanin" w:hAnsi="IRNazanin" w:eastAsia="IRNazanin"/>
          <w:color w:val="111111"/>
          <w:sz w:val="28"/>
          <w:sz w:val="28"/>
          <w:szCs w:val="28"/>
          <w:rtl w:val="true"/>
          <w:lang w:bidi="fa-IR"/>
        </w:rPr>
        <w:t>، فسألنی عنه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فی کتاب اللّٰه إلّا غسلتین و مسحتین، یعنی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حماد، حدثنا العباس بن یزید، أنبأنا سفیان بن عیینة، حدثنی عبد اللّه بن محمد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الحسین أرسله إلی الربیع بنت معوّذ یسألها عن وضوء رسول اللّٰه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یأتیهنّ و کانت تخرج له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فأتیتها فأخرجَت إلیَّ إناءً،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کنت أخرج الوضوء لرسول اللّٰه صلی الله علیه و آله، فیبدأ فیغسل یدیه قبل أن یدخلهما ثلاثاً، ثمّ یتوضّأ فیغسل وجهه ثلاثاً، ثمّ یمضمض ثلاثاً، و یستنشق ثلاثاً، ثمّ یغسل یدیه، ثمّ یمسح برأسه مقبلًا و مدبراً، ثمّ غسل رجلیه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أتانی ابن عمٍّ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IRNazanin" w:hAnsi="IRNazanin" w:eastAsia="IRNazanin"/>
          <w:color w:val="111111"/>
          <w:sz w:val="28"/>
          <w:sz w:val="28"/>
          <w:szCs w:val="28"/>
          <w:rtl w:val="true"/>
          <w:lang w:bidi="fa-IR"/>
        </w:rPr>
        <w:t>أجدُ فی الکتاب إلّا غسلتین و مسحتین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شی‌ء کان الإناء؟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مدٍّ بالهاشمی أو مدّ و رباع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البیهقی موضع الحاجة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الفقیه أبو بکر أحمد بن محمد بن أحمد بن الحارث، أنبأنا علی بن عمر الحافظ، حدّثنا إبراهیم بن حمّاد، حدثنا العبّاس بن یزید، حدثنا سفیان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 اللّه بن محمد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الحسین أرسله إلی الربیع بنت معوّذ لیسألها عن وضوء رسول اللّٰه صلی الله علیه و آله، فذکر الحدیث فی صفة وضوء النبی صلی الله علیه و آله،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غسل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أتانی ابن عمّ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فی الکتاب إلّا غسلتین و مسحتین</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حدثنا سفیان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محمد بن عقیل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علی بن الحسین إلی الربیع بنت المعوذ بن عفراء، فسألتُها عن وضوء رسول اللّٰه صلی الله علیه و آله، فأخرجت له یعنی إناءً یکون مدّاً أو نحو مدٍّ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یذهب إلی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أخرج له الماء فی هذا فیصبّ علی یدیه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یدیه قبل أن یدخلهما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یغسل وجهه ثلاثاً، و یمضمض ثلاثاً و یستنشق ثلاثاً، و یغسل یده </w:t>
      </w:r>
      <w:bookmarkStart w:id="49" w:name="pg1276_10112"/>
    </w:p>
    <w:p>
      <w:pPr>
        <w:pStyle w:val="BookText"/>
        <w:rPr/>
      </w:pPr>
      <w:bookmarkEnd w:id="49"/>
      <w:r>
        <w:rPr>
          <w:rFonts w:ascii="IRNazanin" w:hAnsi="IRNazanin" w:eastAsia="IRNazanin"/>
          <w:color w:val="111111"/>
          <w:sz w:val="28"/>
          <w:sz w:val="28"/>
          <w:szCs w:val="28"/>
          <w:rtl w:val="true"/>
          <w:lang w:bidi="fa-IR"/>
        </w:rPr>
        <w:t>الیمنی ثلاثاً و الیسری ثلاثاً، و یمسح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مرّة أو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و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یغسل رجلیه ثلاثاً؛ قد جاءنی ابن عمٍّ لک فسألنی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 فی کتاب اللّٰه إلّا مسحتین و غسلتین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3231749_373438147"/>
      <w:bookmarkStart w:id="51" w:name="_Toc19"/>
      <w:bookmarkEnd w:id="50"/>
      <w:r>
        <w:rPr>
          <w:rtl w:val="true"/>
        </w:rPr>
        <w:t>المناقشة السندیة</w:t>
      </w:r>
      <w:bookmarkEnd w:id="51"/>
    </w:p>
    <w:p>
      <w:pPr>
        <w:pStyle w:val="Heading5"/>
        <w:numPr>
          <w:ilvl w:val="4"/>
          <w:numId w:val="1"/>
        </w:numPr>
        <w:rPr/>
      </w:pPr>
      <w:bookmarkStart w:id="52" w:name="__RefHeading___Toc3231751_373438147"/>
      <w:bookmarkStart w:id="53" w:name="_Toc20"/>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و هذه الروایات فیها من نقاط القوّة و الصحة ما تترجّح به بمراتب علی الروایات المدّعیة للوضوء الغسلی عن ابن عباس</w:t>
      </w:r>
      <w:r>
        <w:rPr>
          <w:rFonts w:eastAsia="IRNazanin" w:cs="IRNazanin"/>
          <w:color w:val="111111"/>
          <w:sz w:val="28"/>
          <w:szCs w:val="28"/>
          <w:rtl w:val="true"/>
          <w:lang w:bidi="fa-IR"/>
        </w:rPr>
        <w:t>.</w:t>
      </w:r>
    </w:p>
    <w:p>
      <w:pPr>
        <w:pStyle w:val="Heading5"/>
        <w:numPr>
          <w:ilvl w:val="4"/>
          <w:numId w:val="1"/>
        </w:numPr>
        <w:rPr/>
      </w:pPr>
      <w:bookmarkStart w:id="54" w:name="__RefHeading___Toc3231753_373438147"/>
      <w:bookmarkStart w:id="55" w:name="_Toc21"/>
      <w:bookmarkEnd w:id="54"/>
      <w:r>
        <w:rPr>
          <w:rtl w:val="true"/>
        </w:rPr>
        <w:t>أمّا الإسناد الأوّل</w:t>
      </w:r>
      <w:bookmarkEnd w:id="55"/>
    </w:p>
    <w:p>
      <w:pPr>
        <w:pStyle w:val="BookText"/>
        <w:rPr/>
      </w:pPr>
      <w:r>
        <w:rPr>
          <w:rFonts w:ascii="IRNazanin" w:hAnsi="IRNazanin" w:eastAsia="IRNazanin"/>
          <w:color w:val="111111"/>
          <w:sz w:val="28"/>
          <w:sz w:val="28"/>
          <w:szCs w:val="28"/>
          <w:rtl w:val="true"/>
          <w:lang w:bidi="fa-IR"/>
        </w:rPr>
        <w:t>فإنّه صحیح علی شرط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یخرّجه فی صحیحه لعلّة لا تخفی علی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فی هذا الإسناد إلّا ما قد یقال فی عکرمة من أقاویل باطلة، و لذلک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أحد من أصحابنا إلّا و هو یحتجّ بعکرمة </w:t>
      </w:r>
      <w:r>
        <w:rPr>
          <w:rStyle w:val="FootnoteAnchor"/>
          <w:rtl w:val="true"/>
        </w:rPr>
        <w:footnoteReference w:id="52"/>
      </w:r>
      <w:r>
        <w:rPr>
          <w:rFonts w:ascii="IRNazanin" w:hAnsi="IRNazanin" w:eastAsia="IRNazanin"/>
          <w:color w:val="111111"/>
          <w:sz w:val="28"/>
          <w:sz w:val="28"/>
          <w:szCs w:val="28"/>
          <w:rtl w:val="true"/>
          <w:lang w:bidi="fa-IR"/>
        </w:rPr>
        <w:t>، و 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عکرمة مائة و ثلاثون رجلًا من وجوه البلدان کلهم رضوا به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حال فإن لهذا الإسناد لطائف تجعله راجحاً علی باقی </w:t>
      </w:r>
    </w:p>
    <w:p>
      <w:pPr>
        <w:pStyle w:val="BookText"/>
        <w:rPr/>
      </w:pPr>
      <w:r>
        <w:rPr>
          <w:rFonts w:ascii="IRNazanin" w:hAnsi="IRNazanin" w:eastAsia="IRNazanin"/>
          <w:color w:val="111111"/>
          <w:sz w:val="28"/>
          <w:sz w:val="28"/>
          <w:szCs w:val="28"/>
          <w:rtl w:val="true"/>
          <w:lang w:bidi="fa-IR"/>
        </w:rPr>
        <w:t>الأسانید بمراتب،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رواة هذا الطریق أئمة ثقات، ضابطون، عدول، حفاظ للحدیث، فقهاء فی الشریعة، علماء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هم مقصد البخاری فی صحیحه، لأنّهم بمثابة الطبقة الأولی من الطبقات التی تروی عن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من رواة هذا الطریق ملازمة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عن عدّة 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عمن یروی عنه، و هذا ما یجعل هذا الطریق أکثر قوّة و أرجح 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رواة هذا الطریق کان أعلم من غیره بعلم ابن عباس، فعن ابن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أعلم بعلم ابن عباس من عمرو بن دینار؛ سمع من ابن عباس و سمع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عکرمة عن ابن عباس فی هذا الطریق محفوفة بالقرائن التی تورث الاطمئنان، لأنّ عکرمة کان ملازماً لابن عباس، و قد اطلع علی وضوئه عن حسّ لمدّة طویلة، فیکون إخبار عکرمة عن ابن عباس أعلی من محض الروایة بالسماع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الجماعة و طائفة أهل العلم قد احتجّوا برواة هذا الطریق، و علیه فهذا الطریق حجّة عند الجمیع</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الإسناد توثیق صحابیّ لتابعی، فقد روی عن عثمان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کما صرّح بذلک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أبی أمامة بن حنیف إذ جاء عکرمة،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أمامة، أُذکّرک اللّٰه هل </w:t>
      </w:r>
      <w:bookmarkStart w:id="56" w:name="pg1276_10114"/>
    </w:p>
    <w:p>
      <w:pPr>
        <w:pStyle w:val="BookText"/>
        <w:rPr/>
      </w:pPr>
      <w:bookmarkEnd w:id="56"/>
      <w:r>
        <w:rPr>
          <w:rFonts w:ascii="Amiri" w:hAnsi="Amiri" w:eastAsia="Amiri" w:cs="Amiri"/>
          <w:color w:val="111111"/>
          <w:sz w:val="28"/>
          <w:sz w:val="28"/>
          <w:szCs w:val="28"/>
          <w:rtl w:val="true"/>
          <w:lang w:bidi="ar-SA"/>
        </w:rPr>
        <w:t>سمعتَ ابن 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حدّثکم عنی عکرمة فصدِّقوه فإنه لم یکذب عَلَیَّ؟ فقال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3231755_373438147"/>
      <w:bookmarkStart w:id="58" w:name="_Toc22"/>
      <w:bookmarkEnd w:id="57"/>
      <w:r>
        <w:rPr>
          <w:rtl w:val="true"/>
        </w:rPr>
        <w:t>و أمّا الإسناد الثانی</w:t>
      </w:r>
      <w:bookmarkEnd w:id="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یمتاز أیضاً ببعض المیزات، منها أنّ عبد الرزاق جالس معمراً سبع أو ثمان سنین </w:t>
      </w:r>
      <w:r>
        <w:rPr>
          <w:rStyle w:val="FootnoteAnchor"/>
          <w:rtl w:val="true"/>
        </w:rPr>
        <w:footnoteReference w:id="55"/>
      </w:r>
      <w:r>
        <w:rPr>
          <w:rFonts w:ascii="IRNazanin" w:hAnsi="IRNazanin" w:eastAsia="IRNazanin"/>
          <w:color w:val="111111"/>
          <w:sz w:val="28"/>
          <w:sz w:val="28"/>
          <w:szCs w:val="28"/>
          <w:rtl w:val="true"/>
          <w:lang w:bidi="fa-IR"/>
        </w:rPr>
        <w:t xml:space="preserve">، و کان حدیث عبد الرزاق عن معمر أحبّ إلی أحمد لأنّه کان یتعاهد کتبه و ینظر فیها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معمراً جلس إلی قتادة و هو ابن اربع عشرة سنة فما سمع منه حدیثاً إلّا کأنّه مُنْقَشٌ فی صدره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احتج الجماعة أصحاب الصحاح بروایة قتادة عن جابر و عکرمة </w:t>
      </w:r>
      <w:r>
        <w:rPr>
          <w:rStyle w:val="FootnoteAnchor"/>
          <w:rtl w:val="true"/>
        </w:rPr>
        <w:footnoteReference w:id="58"/>
      </w:r>
      <w:r>
        <w:rPr>
          <w:rFonts w:ascii="IRNazanin" w:hAnsi="IRNazanin" w:eastAsia="IRNazanin"/>
          <w:color w:val="111111"/>
          <w:sz w:val="28"/>
          <w:sz w:val="28"/>
          <w:szCs w:val="28"/>
          <w:rtl w:val="true"/>
          <w:lang w:bidi="fa-IR"/>
        </w:rPr>
        <w:t>، و ما قد یقال من أنّه ربّما دلّس فمدفوع هنا بأنّ عنعنته هنا محمولة علی السماع لأنّ له تصریحات معتبرة بالسماع عن جابر بن زید و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متن هذا الحدیث قویّ من جهة کونه مشفوعاً بالاستدلال علی الوضوء الثنائی المسحی؛ إذ استدل ابن عباس بأنّ مسح المغسولَیْن و سقوط الممسوحَیْن فی التیمّم لیدل علی أنّ الوضوء غسلتان و مسحتان</w:t>
      </w:r>
      <w:r>
        <w:rPr>
          <w:rFonts w:eastAsia="IRNazanin" w:cs="IRNazanin"/>
          <w:color w:val="111111"/>
          <w:sz w:val="28"/>
          <w:szCs w:val="28"/>
          <w:rtl w:val="true"/>
          <w:lang w:bidi="fa-IR"/>
        </w:rPr>
        <w:t xml:space="preserve">. </w:t>
      </w:r>
      <w:bookmarkStart w:id="59" w:name="pg1276_10115"/>
    </w:p>
    <w:p>
      <w:pPr>
        <w:pStyle w:val="Heading5"/>
        <w:numPr>
          <w:ilvl w:val="4"/>
          <w:numId w:val="1"/>
        </w:numPr>
        <w:rPr/>
      </w:pPr>
      <w:bookmarkStart w:id="60" w:name="__RefHeading___Toc3231757_373438147"/>
      <w:bookmarkStart w:id="61" w:name="_Toc23"/>
      <w:bookmarkEnd w:id="59"/>
      <w:bookmarkEnd w:id="60"/>
      <w:r>
        <w:rPr>
          <w:rtl w:val="true"/>
        </w:rPr>
        <w:t>و أمّا الأسانید الخمسة الباقیة</w:t>
      </w:r>
      <w:bookmarkEnd w:id="61"/>
    </w:p>
    <w:p>
      <w:pPr>
        <w:pStyle w:val="BookText"/>
        <w:rPr/>
      </w:pPr>
      <w:r>
        <w:rPr>
          <w:rFonts w:ascii="IRNazanin" w:hAnsi="IRNazanin" w:eastAsia="IRNazanin"/>
          <w:color w:val="111111"/>
          <w:sz w:val="28"/>
          <w:sz w:val="28"/>
          <w:szCs w:val="28"/>
          <w:rtl w:val="true"/>
          <w:lang w:bidi="fa-IR"/>
        </w:rPr>
        <w:t>فلیس فیها إلّا ما قد یقال من سوء حفظ و قلة ضبط عبد اللّه بن</w:t>
      </w:r>
    </w:p>
    <w:p>
      <w:pPr>
        <w:pStyle w:val="BookText"/>
        <w:rPr/>
      </w:pPr>
      <w:r>
        <w:rPr>
          <w:rFonts w:ascii="IRNazanin" w:hAnsi="IRNazanin" w:eastAsia="IRNazanin"/>
          <w:color w:val="111111"/>
          <w:sz w:val="28"/>
          <w:sz w:val="28"/>
          <w:szCs w:val="28"/>
          <w:rtl w:val="true"/>
          <w:lang w:bidi="fa-IR"/>
        </w:rPr>
        <w:t xml:space="preserve">محمد بن عقیل الذی کان بسبب طول عمره، و أمّا وثاقته فلا کلام فیها </w:t>
      </w:r>
      <w:r>
        <w:rPr>
          <w:rStyle w:val="FootnoteAnchor"/>
          <w:rtl w:val="true"/>
        </w:rPr>
        <w:footnoteReference w:id="59"/>
      </w:r>
      <w:r>
        <w:rPr>
          <w:rFonts w:ascii="IRNazanin" w:hAnsi="IRNazanin" w:eastAsia="IRNazanin"/>
          <w:color w:val="111111"/>
          <w:sz w:val="28"/>
          <w:sz w:val="28"/>
          <w:szCs w:val="28"/>
          <w:rtl w:val="true"/>
          <w:lang w:bidi="fa-IR"/>
        </w:rPr>
        <w:t>، فهو ممن یتابع علی حدیثه، و أمّا باقی الرواة فثقات، بل بعضهم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الأسانید محفوفة بقرائن ترقی بها إلی درجة الحجیّة،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ثلاثة من أثبات أهل العلم رووا هذا الحدیث بلا زیادة و لا نقیصة عن عبد اللّه بن محمد بن عقیل،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راشد الأزدی، و روح بن القاسم، و سفیان بن عیینة، و هذا یدل علی أنّه کان حافظا ضابطاً فی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الترمذی هو الاحتجاج بما یرویه عبد اللّه بن محمد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رواه عبد اللّه بن محمد بن عقیل مُوافق للروایات المسحیة الصحیحة عن ابن عباس، و معتضد بأقوال العلماء الجازمة بأنّ مذهب ابن عباس هو المسح علی القدمین لا غیر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الأسانید ترتقی إلی درجة الصحّة، خصوصاً بملاحظة النصوص الأخری الموجودة فی کتب التفاسیر</w:t>
      </w:r>
      <w:r>
        <w:rPr>
          <w:rFonts w:eastAsia="IRNazanin" w:cs="IRNazanin"/>
          <w:color w:val="111111"/>
          <w:sz w:val="28"/>
          <w:szCs w:val="28"/>
          <w:rtl w:val="true"/>
          <w:lang w:bidi="fa-IR"/>
        </w:rPr>
        <w:t xml:space="preserve">: </w:t>
      </w:r>
      <w:bookmarkStart w:id="62" w:name="pg1276_10116"/>
    </w:p>
    <w:p>
      <w:pPr>
        <w:pStyle w:val="Heading5"/>
        <w:numPr>
          <w:ilvl w:val="4"/>
          <w:numId w:val="1"/>
        </w:numPr>
        <w:rPr/>
      </w:pPr>
      <w:bookmarkStart w:id="63" w:name="__RefHeading___Toc3231759_373438147"/>
      <w:bookmarkStart w:id="64" w:name="_Toc24"/>
      <w:bookmarkEnd w:id="62"/>
      <w:bookmarkEnd w:id="63"/>
      <w:r>
        <w:rPr>
          <w:rtl w:val="true"/>
        </w:rPr>
        <w:t>تصریحات العلماء</w:t>
      </w:r>
      <w:r>
        <w:rPr>
          <w:rtl w:val="true"/>
        </w:rPr>
        <w:t>:</w:t>
      </w:r>
      <w:bookmarkEnd w:id="64"/>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قیس الخراسانی، عن ابن جریج، عن عمرو بن دینار،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غسلتان و مسحتان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عبد الرزاق و عبد بن حمید،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افترض اللّٰه غسلتین و مسحتین، أ لا تری أنه ذکر التیمم فجعل مکان الغسلتین مسحتین و ترک المسحتین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جریر و ابن المنذر عن قتادة مثله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أبی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حدثنا أبو معمر المنقری، حدثنا عبد الوهاب، حدثنا علی بن زید، عن یوسف بن مهران،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 وَ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المسح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یثبت عن أحد من الصحابة خلاف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عن علی و ابن عباس و أنس </w:t>
      </w:r>
      <w:r>
        <w:rPr>
          <w:rStyle w:val="FootnoteAnchor"/>
          <w:rtl w:val="true"/>
        </w:rPr>
        <w:footnoteReference w:id="63"/>
      </w:r>
      <w:r>
        <w:rPr>
          <w:rFonts w:ascii="Times New Roman" w:hAnsi="Times New Roman" w:eastAsia="Times New Roman" w:cs="Times New Roman"/>
          <w:color w:val="111111"/>
          <w:sz w:val="28"/>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موفق الدین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یُعلم من فقهاء المسلمین من یقول بالمسح غیر من ذکرنا </w:t>
      </w:r>
      <w:r>
        <w:rPr>
          <w:rStyle w:val="FootnoteAnchor"/>
          <w:rtl w:val="true"/>
        </w:rPr>
        <w:footnoteReference w:id="64"/>
      </w:r>
      <w:r>
        <w:rPr>
          <w:rFonts w:ascii="IRNazanin" w:hAnsi="IRNazanin" w:eastAsia="IRNazanin"/>
          <w:color w:val="111111"/>
          <w:sz w:val="28"/>
          <w:sz w:val="28"/>
          <w:szCs w:val="28"/>
          <w:rtl w:val="true"/>
          <w:lang w:bidi="fa-IR"/>
        </w:rPr>
        <w:t xml:space="preserve">… و کان علی بن أبی طالب و ابن عباس ممن </w:t>
      </w:r>
    </w:p>
    <w:p>
      <w:pPr>
        <w:pStyle w:val="BookText"/>
        <w:rPr/>
      </w:pPr>
      <w:r>
        <w:rPr>
          <w:rFonts w:ascii="IRNazanin" w:hAnsi="IRNazanin" w:eastAsia="IRNazanin"/>
          <w:color w:val="111111"/>
          <w:sz w:val="28"/>
          <w:sz w:val="28"/>
          <w:szCs w:val="28"/>
          <w:rtl w:val="true"/>
          <w:lang w:bidi="fa-IR"/>
        </w:rPr>
        <w:t>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زرعة فی حجة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 ابن کثیر و أبو عمرو و حمزة و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خفضاً، عطفاً علی الرءوس، و حجتهم فی ذلک ما روی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غسلتان و مسحتان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عباس و الحسن 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و تأوّلوها علی المسح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ظاهر الآیة صریح فی أنّ واجبها المسح کما قاله ابن عباس و غیره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نقل کثیر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من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المسح عن ابن عباس، کالسرخسی </w:t>
      </w:r>
      <w:r>
        <w:rPr>
          <w:rStyle w:val="FootnoteAnchor"/>
          <w:rtl w:val="true"/>
        </w:rPr>
        <w:footnoteReference w:id="68"/>
      </w:r>
      <w:r>
        <w:rPr>
          <w:rFonts w:ascii="IRNazanin" w:hAnsi="IRNazanin" w:eastAsia="IRNazanin"/>
          <w:color w:val="111111"/>
          <w:sz w:val="28"/>
          <w:sz w:val="28"/>
          <w:szCs w:val="28"/>
          <w:rtl w:val="true"/>
          <w:lang w:bidi="fa-IR"/>
        </w:rPr>
        <w:t xml:space="preserve">، و ابن العربی </w:t>
      </w:r>
      <w:r>
        <w:rPr>
          <w:rStyle w:val="FootnoteAnchor"/>
          <w:rtl w:val="true"/>
        </w:rPr>
        <w:footnoteReference w:id="69"/>
      </w:r>
      <w:r>
        <w:rPr>
          <w:rFonts w:ascii="IRNazanin" w:hAnsi="IRNazanin" w:eastAsia="IRNazanin"/>
          <w:color w:val="111111"/>
          <w:sz w:val="28"/>
          <w:sz w:val="28"/>
          <w:szCs w:val="28"/>
          <w:rtl w:val="true"/>
          <w:lang w:bidi="fa-IR"/>
        </w:rPr>
        <w:t xml:space="preserve">، و الرازی </w:t>
      </w:r>
      <w:r>
        <w:rPr>
          <w:rStyle w:val="FootnoteAnchor"/>
          <w:rtl w:val="true"/>
        </w:rPr>
        <w:footnoteReference w:id="70"/>
      </w:r>
      <w:r>
        <w:rPr>
          <w:rFonts w:ascii="IRNazanin" w:hAnsi="IRNazanin" w:eastAsia="IRNazanin"/>
          <w:color w:val="111111"/>
          <w:sz w:val="28"/>
          <w:sz w:val="28"/>
          <w:szCs w:val="28"/>
          <w:rtl w:val="true"/>
          <w:lang w:bidi="fa-IR"/>
        </w:rPr>
        <w:t xml:space="preserve">، و الشوکانی </w:t>
      </w:r>
      <w:r>
        <w:rPr>
          <w:rStyle w:val="FootnoteAnchor"/>
          <w:rtl w:val="true"/>
        </w:rPr>
        <w:footnoteReference w:id="71"/>
      </w:r>
      <w:r>
        <w:rPr>
          <w:rFonts w:ascii="IRNazanin" w:hAnsi="IRNazanin" w:eastAsia="IRNazanin"/>
          <w:color w:val="111111"/>
          <w:sz w:val="28"/>
          <w:sz w:val="28"/>
          <w:szCs w:val="28"/>
          <w:rtl w:val="true"/>
          <w:lang w:bidi="fa-IR"/>
        </w:rPr>
        <w:t xml:space="preserve">، و القرطبی </w:t>
      </w:r>
      <w:r>
        <w:rPr>
          <w:rStyle w:val="FootnoteAnchor"/>
          <w:rtl w:val="true"/>
        </w:rPr>
        <w:footnoteReference w:id="72"/>
      </w:r>
      <w:r>
        <w:rPr>
          <w:rFonts w:ascii="IRNazanin" w:hAnsi="IRNazanin" w:eastAsia="IRNazanin"/>
          <w:color w:val="111111"/>
          <w:sz w:val="28"/>
          <w:sz w:val="28"/>
          <w:szCs w:val="28"/>
          <w:rtl w:val="true"/>
          <w:lang w:bidi="fa-IR"/>
        </w:rPr>
        <w:t xml:space="preserve">، و أبی حیان الأندلسی </w:t>
      </w:r>
      <w:r>
        <w:rPr>
          <w:rStyle w:val="FootnoteAnchor"/>
          <w:rtl w:val="true"/>
        </w:rPr>
        <w:footnoteReference w:id="73"/>
      </w:r>
      <w:r>
        <w:rPr>
          <w:rFonts w:ascii="IRNazanin" w:hAnsi="IRNazanin" w:eastAsia="IRNazanin"/>
          <w:color w:val="111111"/>
          <w:sz w:val="28"/>
          <w:sz w:val="28"/>
          <w:szCs w:val="28"/>
          <w:rtl w:val="true"/>
          <w:lang w:bidi="fa-IR"/>
        </w:rPr>
        <w:t xml:space="preserve">، و القاضی ابن عطیة الأندلسی </w:t>
      </w:r>
      <w:r>
        <w:rPr>
          <w:rStyle w:val="FootnoteAnchor"/>
          <w:rtl w:val="true"/>
        </w:rPr>
        <w:footnoteReference w:id="74"/>
      </w:r>
      <w:r>
        <w:rPr>
          <w:rFonts w:ascii="IRNazanin" w:hAnsi="IRNazanin" w:eastAsia="IRNazanin"/>
          <w:color w:val="111111"/>
          <w:sz w:val="28"/>
          <w:sz w:val="28"/>
          <w:szCs w:val="28"/>
          <w:rtl w:val="true"/>
          <w:lang w:bidi="fa-IR"/>
        </w:rPr>
        <w:t xml:space="preserve">، و البغوی </w:t>
      </w:r>
      <w:r>
        <w:rPr>
          <w:rStyle w:val="FootnoteAnchor"/>
          <w:rtl w:val="true"/>
        </w:rPr>
        <w:footnoteReference w:id="75"/>
      </w:r>
      <w:r>
        <w:rPr>
          <w:rFonts w:ascii="IRNazanin" w:hAnsi="IRNazanin" w:eastAsia="IRNazanin"/>
          <w:color w:val="111111"/>
          <w:sz w:val="28"/>
          <w:sz w:val="28"/>
          <w:szCs w:val="28"/>
          <w:rtl w:val="true"/>
          <w:lang w:bidi="fa-IR"/>
        </w:rPr>
        <w:t xml:space="preserve">، و ابن جزی الکلبی </w:t>
      </w:r>
      <w:r>
        <w:rPr>
          <w:rStyle w:val="FootnoteAnchor"/>
          <w:rtl w:val="true"/>
        </w:rPr>
        <w:footnoteReference w:id="76"/>
      </w:r>
      <w:r>
        <w:rPr>
          <w:rFonts w:ascii="IRNazanin" w:hAnsi="IRNazanin" w:eastAsia="IRNazanin"/>
          <w:color w:val="111111"/>
          <w:sz w:val="28"/>
          <w:sz w:val="28"/>
          <w:szCs w:val="28"/>
          <w:rtl w:val="true"/>
          <w:lang w:bidi="fa-IR"/>
        </w:rPr>
        <w:t>، و غیرهم</w:t>
      </w:r>
      <w:r>
        <w:rPr>
          <w:rFonts w:eastAsia="IRNazanin" w:cs="IRNazanin"/>
          <w:color w:val="111111"/>
          <w:sz w:val="28"/>
          <w:szCs w:val="28"/>
          <w:rtl w:val="true"/>
          <w:lang w:bidi="fa-IR"/>
        </w:rPr>
        <w:t xml:space="preserve">. </w:t>
      </w:r>
      <w:bookmarkStart w:id="65" w:name="pg1276_10118"/>
    </w:p>
    <w:p>
      <w:pPr>
        <w:pStyle w:val="BookText"/>
        <w:rPr/>
      </w:pPr>
      <w:bookmarkEnd w:id="65"/>
      <w:r>
        <w:rPr>
          <w:rFonts w:ascii="IRNazanin" w:hAnsi="IRNazanin" w:eastAsia="IRNazanin"/>
          <w:color w:val="111111"/>
          <w:sz w:val="28"/>
          <w:sz w:val="28"/>
          <w:szCs w:val="28"/>
          <w:rtl w:val="true"/>
          <w:lang w:bidi="fa-IR"/>
        </w:rPr>
        <w:t>و من کل هذا یُعلم أن صریح مذهب ابن عباس هو المسح لا غیر، و أنّ ما روی عنه من الوضوء الغسلی لا یمکنه أن یعارض ما ثبت عنه من المسح، فیکون المرویّ الغسلی عنه إما شاذّاً و إمّا منکراً، و الروایة الشاذة و المنکرة لا یمکنها أن تقاوم الصحیح المحفوظ</w:t>
      </w:r>
      <w:r>
        <w:rPr>
          <w:rFonts w:eastAsia="IRNazanin" w:cs="IRNazanin"/>
          <w:color w:val="111111"/>
          <w:sz w:val="28"/>
          <w:szCs w:val="28"/>
          <w:rtl w:val="true"/>
          <w:lang w:bidi="fa-IR"/>
        </w:rPr>
        <w:t>.</w:t>
      </w:r>
    </w:p>
    <w:p>
      <w:pPr>
        <w:pStyle w:val="Heading4"/>
        <w:numPr>
          <w:ilvl w:val="3"/>
          <w:numId w:val="1"/>
        </w:numPr>
        <w:rPr/>
      </w:pPr>
      <w:bookmarkStart w:id="66" w:name="__RefHeading___Toc3231761_373438147"/>
      <w:bookmarkStart w:id="67" w:name="_Toc25"/>
      <w:bookmarkEnd w:id="66"/>
      <w:r>
        <w:rPr>
          <w:rtl w:val="true"/>
        </w:rPr>
        <w:t>المناقشة الدلالیة</w:t>
      </w:r>
      <w:bookmarkEnd w:id="67"/>
    </w:p>
    <w:p>
      <w:pPr>
        <w:pStyle w:val="BookText"/>
        <w:rPr/>
      </w:pPr>
      <w:r>
        <w:rPr>
          <w:rFonts w:ascii="IRNazanin" w:hAnsi="IRNazanin" w:eastAsia="IRNazanin"/>
          <w:color w:val="111111"/>
          <w:sz w:val="28"/>
          <w:sz w:val="28"/>
          <w:szCs w:val="28"/>
          <w:rtl w:val="true"/>
          <w:lang w:bidi="fa-IR"/>
        </w:rPr>
        <w:t>بعد أن فرغنا من إثبات صحة الأسانید المسحیة لابن عباس و رجحانها علی المنسوب الغسلی إلیه، نأتی إلی البحث الدلالی للروایات المسحیّة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فنجمل القول فیها بعدة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النصوص المسحیّة فی صراحة المسح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الغسلیّة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المسحیّة کلّها تشیر إلی حقیقة واحدة، و هی أنّ الوضوء ما هو إلّا غسلتان و مسحتان، و إن کان فی بعضها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ذکر التیمم فجعل مکان الغسلتین مسحتین و ترک المسحتین</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نقل هذه الزیادة عن ابن عبّاس إشارة إلی أنّ مخالفیه کانوا من أصحاب الرأی و الاستحسان، و لأجله قرّب لهم الأمر طبقاً للرأی الّذی یتبنّونه و یعتقدون به، و مثله الحال بالنسبة إلی استدلاله بالقرآن و اعتراضه علی الربیع بما نسبت من وضوءٍ إلی رسول اللّٰه صلی الله علیه و آله، أی أنّ ابن عبّاس </w:t>
      </w:r>
    </w:p>
    <w:p>
      <w:pPr>
        <w:pStyle w:val="BookText"/>
        <w:rPr/>
      </w:pPr>
      <w:r>
        <w:rPr>
          <w:rFonts w:ascii="Amiri" w:hAnsi="Amiri" w:eastAsia="Amiri" w:cs="Amiri"/>
          <w:color w:val="111111"/>
          <w:sz w:val="28"/>
          <w:sz w:val="28"/>
          <w:szCs w:val="28"/>
          <w:rtl w:val="true"/>
          <w:lang w:bidi="ar-SA"/>
        </w:rPr>
        <w:t>استدلَّ علی صحة کلامه بثلاثة أدلّة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لکونه الأصل الأول فی التشریع الإسلامی، و هو ما أراد الخلفاءُ حصر الاستدلال به، فقال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لما دَعَوا له من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فی کتاب اللّٰه إلّا مسحتین و غسلتین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النّبویّة، فإنّ رفضه لنقل الربیع یرشدنا إلی أنّ ابن عبّاس لا یقبل نسبة هذا المنقول إلی رسول اللّٰه صلی الله علیه و آله، لکونه هو قد عاصره صلی الله علیه و آله و بات فی بیته و رأی وضوءه و صلی معه و شمله دعاؤه و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إلزامهم بما یعتقدون به من وجوه التأویل و التفسیر و الرأی، مع تأکیدنا علی أنّ ابن عبّاس کان لا یرتضی الرأی بل یتعبد بالنصوص القرآنیة و الحدیثیة، و أنّ تمسّکه بهذه الجملة جاء من باب إلزام الآخرین بما یعتقدونه و یقولونه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الرواة الّذین رووا عن ابن عبّاس المسح، فقد روی ذلک عنه الربیع بنت المعوذ </w:t>
      </w:r>
      <w:r>
        <w:rPr>
          <w:rStyle w:val="FootnoteAnchor"/>
          <w:rtl w:val="true"/>
        </w:rPr>
        <w:footnoteReference w:id="78"/>
      </w:r>
      <w:r>
        <w:rPr>
          <w:rFonts w:ascii="IRNazanin" w:hAnsi="IRNazanin" w:eastAsia="IRNazanin"/>
          <w:color w:val="111111"/>
          <w:sz w:val="28"/>
          <w:sz w:val="28"/>
          <w:szCs w:val="28"/>
          <w:rtl w:val="true"/>
          <w:lang w:bidi="fa-IR"/>
        </w:rPr>
        <w:t xml:space="preserve">و عکرمة </w:t>
      </w:r>
      <w:r>
        <w:rPr>
          <w:rStyle w:val="FootnoteAnchor"/>
          <w:rtl w:val="true"/>
        </w:rPr>
        <w:footnoteReference w:id="79"/>
      </w:r>
      <w:r>
        <w:rPr>
          <w:rFonts w:ascii="IRNazanin" w:hAnsi="IRNazanin" w:eastAsia="IRNazanin"/>
          <w:color w:val="111111"/>
          <w:sz w:val="28"/>
          <w:sz w:val="28"/>
          <w:szCs w:val="28"/>
          <w:rtl w:val="true"/>
          <w:lang w:bidi="fa-IR"/>
        </w:rPr>
        <w:t xml:space="preserve">و جابر </w:t>
      </w:r>
      <w:r>
        <w:rPr>
          <w:rStyle w:val="FootnoteAnchor"/>
          <w:rtl w:val="true"/>
        </w:rPr>
        <w:footnoteReference w:id="80"/>
      </w:r>
      <w:r>
        <w:rPr>
          <w:rFonts w:ascii="IRNazanin" w:hAnsi="IRNazanin" w:eastAsia="IRNazanin"/>
          <w:color w:val="111111"/>
          <w:sz w:val="28"/>
          <w:sz w:val="28"/>
          <w:szCs w:val="28"/>
          <w:rtl w:val="true"/>
          <w:lang w:bidi="fa-IR"/>
        </w:rPr>
        <w:t xml:space="preserve">و یوسف بن مهران </w:t>
      </w:r>
      <w:r>
        <w:rPr>
          <w:rStyle w:val="FootnoteAnchor"/>
          <w:rtl w:val="true"/>
        </w:rPr>
        <w:footnoteReference w:id="8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أغلب هؤلاء من تلامذة ابن عبّاس، و بینهم من دوّن عنه أحادیثه، بعکس رواة الغسل عنه، فهم أقلّ عدداً و لیسوا ممّن اختصّ بابن عبّاس؛ إذ عرفت انحصار روایة الغسل عنه بعطاء بن یسار و سعید بن جبیر، </w:t>
      </w:r>
    </w:p>
    <w:p>
      <w:pPr>
        <w:pStyle w:val="BookText"/>
        <w:rPr/>
      </w:pPr>
      <w:r>
        <w:rPr>
          <w:rFonts w:ascii="IRNazanin" w:hAnsi="IRNazanin" w:eastAsia="IRNazanin"/>
          <w:color w:val="111111"/>
          <w:sz w:val="28"/>
          <w:sz w:val="28"/>
          <w:szCs w:val="28"/>
          <w:rtl w:val="true"/>
          <w:lang w:bidi="fa-IR"/>
        </w:rPr>
        <w:t>و سعید و إن کان من المدوّنین لحدیث ابن عبّاس لکنّا بیّنا ضعف الطریق إلیه بوجود عبّاد بن منصور فیه، و هو المضعَّف عند الجمیع، و حینما سقطت روایة سعید بن جبیر بقی طریق عطاء بن یسار،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یختص بابن عبّاس و لم یدوِّن عنه، بعکس رواة المسح حسبما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أهل الاجتهاد و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رسم أصول 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لتضعیف رواة الوضوء المسحی؛ لا لکونهم قد رووا الوضوء المسحیّ حسب، بل لروایتهم أحادیث غریبة منکرة بنظرهم لم یألفوها فی کتبهم و صحاحهم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إنّهم قد ضعفوا أئمّة حفاظاً کانت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الصحاح و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روت لهم فی موارد أخری، و اعتبروا روایتهم لهذه الأحادیث جرحاً لهم لکونها منکرة و غریبة بنظرهم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لو لحظت الإسناد الأول من الطرق المسحیّة عن ابن عبّاس، لرأیت رواته أئمّة حفاظاً؛ قد روی لهم أئمّة الصحاح و السنن، و الطریق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عن ابن جریج،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عمرو بن دینار أنّه سمع عکرمة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فعبد الرزاق قد احتج به الجماعة </w:t>
      </w:r>
      <w:r>
        <w:rPr>
          <w:rStyle w:val="FootnoteAnchor"/>
          <w:rtl w:val="true"/>
        </w:rPr>
        <w:footnoteReference w:id="82"/>
      </w:r>
      <w:r>
        <w:rPr>
          <w:rFonts w:ascii="IRNazanin" w:hAnsi="IRNazanin" w:eastAsia="IRNazanin"/>
          <w:color w:val="111111"/>
          <w:sz w:val="28"/>
          <w:sz w:val="28"/>
          <w:szCs w:val="28"/>
          <w:rtl w:val="true"/>
          <w:lang w:bidi="fa-IR"/>
        </w:rPr>
        <w:t xml:space="preserve">، و هکذا ابن جریج </w:t>
      </w:r>
      <w:r>
        <w:rPr>
          <w:rStyle w:val="FootnoteAnchor"/>
          <w:rtl w:val="true"/>
        </w:rPr>
        <w:footnoteReference w:id="83"/>
      </w:r>
      <w:r>
        <w:rPr>
          <w:rFonts w:ascii="IRNazanin" w:hAnsi="IRNazanin" w:eastAsia="IRNazanin"/>
          <w:color w:val="111111"/>
          <w:sz w:val="28"/>
          <w:sz w:val="28"/>
          <w:szCs w:val="28"/>
          <w:rtl w:val="true"/>
          <w:lang w:bidi="fa-IR"/>
        </w:rPr>
        <w:t xml:space="preserve">، و مثله عمرو بن دینار </w:t>
      </w:r>
      <w:r>
        <w:rPr>
          <w:rStyle w:val="FootnoteAnchor"/>
          <w:rtl w:val="true"/>
        </w:rPr>
        <w:footnoteReference w:id="84"/>
      </w:r>
      <w:r>
        <w:rPr>
          <w:rFonts w:ascii="IRNazanin" w:hAnsi="IRNazanin" w:eastAsia="IRNazanin"/>
          <w:color w:val="111111"/>
          <w:sz w:val="28"/>
          <w:sz w:val="28"/>
          <w:szCs w:val="28"/>
          <w:rtl w:val="true"/>
          <w:lang w:bidi="fa-IR"/>
        </w:rPr>
        <w:t xml:space="preserve">و عکرمة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بما أنّ الجماعة قد رووا لهؤلاء و ثبت لکلّ واحد منهم ملازمة طویلة لمن 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بینهم من هو أعلم بعلم ابن عبّاس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 لم تُروَ هذه الروایة و أمثالها فی صحاح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یقع هؤلاء فی أسانید الصحاح و المسانید فی مواطن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یخرّج البخاری عن سلیمان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تحتاج روایته إلی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یخرّج خبر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 فی کتاب اللّٰه إلّا مسحتین و غسلتین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الصحیح المتقدّم، مع أنّ رواته أئمّة حفّاظ و قد أخرج لهم فی مواطن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بهم بشکل لیس معه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الباحث فی النصوص المسحیّة عن ابن عبّاس یعرف أنّها نصوص استنکاریة فیها إشارة إلی موقف ابن عبّاس الاعتراضی علی ثقل الاتّجاه المقابل، و مثله الحال بالنسبة إلی خبر ابن عقیل، فإنّ علیّ بن الحسین حینما أرسله إلی الربیع لم یکن لأخذ الحکم عنها، بل جاء لیسألها عن ادّعائها لوضوء رسول اللّٰه صلی الله علیه و آله، و کیف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یعرفون ما تحکیه عنه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جاءها کی یثبت لها مخالفة ما تدّعیه للثابت المقطوع عن رسول اللّٰه صلی الله علیه و آله، حیث تواترت الأخبار عنه صلی الله علیه و آله أنّه کان یتوضأ بالمدّ </w:t>
      </w:r>
      <w:r>
        <w:rPr>
          <w:rStyle w:val="FootnoteAnchor"/>
          <w:rtl w:val="true"/>
        </w:rPr>
        <w:footnoteReference w:id="86"/>
      </w:r>
      <w:r>
        <w:rPr>
          <w:rFonts w:ascii="IRNazanin" w:hAnsi="IRNazanin" w:eastAsia="IRNazanin"/>
          <w:color w:val="111111"/>
          <w:sz w:val="28"/>
          <w:sz w:val="28"/>
          <w:szCs w:val="28"/>
          <w:rtl w:val="true"/>
          <w:lang w:bidi="fa-IR"/>
        </w:rPr>
        <w:t>و یغتسل بالصاع، و هذا لا یتطابق مع ما ترویه عنه صلی الله علیه و آله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فهمتَ الربیِّعُ غرضَ ابن عقیل الاستنکاری فقالت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جاءنی ابن عمّ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به ابن عبّاس، فلمّحت بقولها إلی أنّ الطالبیین لا </w:t>
      </w:r>
    </w:p>
    <w:p>
      <w:pPr>
        <w:pStyle w:val="BookText"/>
        <w:rPr/>
      </w:pPr>
      <w:r>
        <w:rPr>
          <w:rFonts w:ascii="IRNazanin" w:hAnsi="IRNazanin" w:eastAsia="IRNazanin"/>
          <w:color w:val="111111"/>
          <w:sz w:val="28"/>
          <w:sz w:val="28"/>
          <w:szCs w:val="28"/>
          <w:rtl w:val="true"/>
          <w:lang w:bidi="fa-IR"/>
        </w:rPr>
        <w:t>یرتضون نقلها لمخالفته ما عرفوه من سیرة رسول اللّٰه صلی الله علیه و آله و القرآن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فابن عقیل أکّد إشکاله و سؤاله بصورة أخری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فبأی شی‌ء کان الإناء؟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مدٍّ أو مدٍّ و 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کان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بها ابن عقیل بیان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إرشادها إلی سقم رؤیتها، لأنّه صلی الله علیه و آله لو کان یمسح رأسه مقبلًا و مدبراً، و یغسل رجلیه ثلاثاً لاحتاج إلی أکثر من مدّ؛ لعدم کفایة المُدّ لغسل تمام أعضاء الوضوء، و هذا التشکیک من ابن عقیل هو الّذی حدا بالربیع أن تزید فی قدر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مدّ بالهاشمی أو مدّ و 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انتبهت إلی عدم إمکان إیفاء المدّ من الماء بمسح الرأس کلّه مقبلًا و مدبراً مع غسل الرجلین و بقیة الأعضاء ثلاثاً، فأتت بتلک الزیادة کی تعذر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عقیل أراد أن یری الإناء الّذی ادَّعت أنَّها کانت تصبّ فیه الماء لرسول اللّٰه صلی الله علیه و آله کی یوضّح لها علی ضوئه بأنّ ما تقوله لا یلائم ما تفرضه من حجم الماء الّذی فیه؛ لأنّ الماء الموجود فی هذا الظرف الصغیر لا یمکنه غسل الرجلین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ابنَ عقیل أراد أن یوضّح لها کذب کلامها علی وجه الدّقة و التحقیق لا الحدس و التخمین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مجمل القول فی الروایات المسحیّة عن ابن عبّاس، و قد عرفت أنّها تُرَجَّحُ علی الغسلیّة، بکثرة الطرق، و وحدة النّص و عدم الاضطراب فیها و … بعکس الطرق الغسلیّة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الّذی یجب التنبیه علیه هنا هو أنّ جمعاً من تلامذة ابن عبّاس کانوا قد دوّنوا أحادیثه،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ملیکة </w:t>
      </w:r>
      <w:r>
        <w:rPr>
          <w:rStyle w:val="FootnoteAnchor"/>
          <w:rtl w:val="true"/>
        </w:rPr>
        <w:footnoteReference w:id="87"/>
      </w:r>
      <w:r>
        <w:rPr>
          <w:rFonts w:ascii="IRNazanin" w:hAnsi="IRNazanin" w:eastAsia="IRNazanin"/>
          <w:color w:val="111111"/>
          <w:sz w:val="28"/>
          <w:sz w:val="28"/>
          <w:szCs w:val="28"/>
          <w:rtl w:val="true"/>
          <w:lang w:bidi="fa-IR"/>
        </w:rPr>
        <w:t xml:space="preserve">و الحکم بن مقسم </w:t>
      </w:r>
      <w:r>
        <w:rPr>
          <w:rStyle w:val="FootnoteAnchor"/>
          <w:rtl w:val="true"/>
        </w:rPr>
        <w:footnoteReference w:id="88"/>
      </w:r>
      <w:r>
        <w:rPr>
          <w:rFonts w:ascii="IRNazanin" w:hAnsi="IRNazanin" w:eastAsia="IRNazanin"/>
          <w:color w:val="111111"/>
          <w:sz w:val="28"/>
          <w:sz w:val="28"/>
          <w:szCs w:val="28"/>
          <w:rtl w:val="true"/>
          <w:lang w:bidi="fa-IR"/>
        </w:rPr>
        <w:t xml:space="preserve">و سعید بن جبیر </w:t>
      </w:r>
      <w:r>
        <w:rPr>
          <w:rStyle w:val="FootnoteAnchor"/>
          <w:rtl w:val="true"/>
        </w:rPr>
        <w:footnoteReference w:id="89"/>
      </w:r>
      <w:r>
        <w:rPr>
          <w:rFonts w:ascii="IRNazanin" w:hAnsi="IRNazanin" w:eastAsia="IRNazanin"/>
          <w:color w:val="111111"/>
          <w:sz w:val="28"/>
          <w:sz w:val="28"/>
          <w:szCs w:val="28"/>
          <w:rtl w:val="true"/>
          <w:lang w:bidi="fa-IR"/>
        </w:rPr>
        <w:t xml:space="preserve">و علی بن عبد اللّه بن عبّاس </w:t>
      </w:r>
      <w:r>
        <w:rPr>
          <w:rStyle w:val="FootnoteAnchor"/>
          <w:rtl w:val="true"/>
        </w:rPr>
        <w:footnoteReference w:id="90"/>
      </w:r>
      <w:r>
        <w:rPr>
          <w:rFonts w:ascii="IRNazanin" w:hAnsi="IRNazanin" w:eastAsia="IRNazanin"/>
          <w:color w:val="111111"/>
          <w:sz w:val="28"/>
          <w:sz w:val="28"/>
          <w:szCs w:val="28"/>
          <w:rtl w:val="true"/>
          <w:lang w:bidi="fa-IR"/>
        </w:rPr>
        <w:t xml:space="preserve">و عکرمة </w:t>
      </w:r>
      <w:r>
        <w:rPr>
          <w:rStyle w:val="FootnoteAnchor"/>
          <w:rtl w:val="true"/>
        </w:rPr>
        <w:footnoteReference w:id="91"/>
      </w:r>
      <w:r>
        <w:rPr>
          <w:rFonts w:ascii="IRNazanin" w:hAnsi="IRNazanin" w:eastAsia="IRNazanin"/>
          <w:color w:val="111111"/>
          <w:sz w:val="28"/>
          <w:sz w:val="28"/>
          <w:szCs w:val="28"/>
          <w:rtl w:val="true"/>
          <w:lang w:bidi="fa-IR"/>
        </w:rPr>
        <w:t xml:space="preserve">و کریب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مجاهد </w:t>
      </w:r>
      <w:r>
        <w:rPr>
          <w:rStyle w:val="FootnoteAnchor"/>
          <w:rtl w:val="true"/>
        </w:rPr>
        <w:footnoteReference w:id="93"/>
      </w:r>
      <w:r>
        <w:rPr>
          <w:rFonts w:ascii="IRNazanin" w:hAnsi="IRNazanin" w:eastAsia="IRNazanin"/>
          <w:color w:val="111111"/>
          <w:sz w:val="28"/>
          <w:sz w:val="28"/>
          <w:szCs w:val="28"/>
          <w:rtl w:val="true"/>
          <w:lang w:bidi="fa-IR"/>
        </w:rPr>
        <w:t xml:space="preserve">و نجدة الحروری </w:t>
      </w:r>
      <w:r>
        <w:rPr>
          <w:rStyle w:val="FootnoteAnchor"/>
          <w:rtl w:val="true"/>
        </w:rPr>
        <w:footnoteReference w:id="94"/>
      </w:r>
      <w:r>
        <w:rPr>
          <w:rFonts w:ascii="IRNazanin" w:hAnsi="IRNazanin" w:eastAsia="IRNazanin"/>
          <w:color w:val="111111"/>
          <w:sz w:val="28"/>
          <w:sz w:val="28"/>
          <w:szCs w:val="28"/>
          <w:rtl w:val="true"/>
          <w:lang w:bidi="fa-IR"/>
        </w:rPr>
        <w:t xml:space="preserve">و عمرو بن دینار </w:t>
      </w:r>
      <w:r>
        <w:rPr>
          <w:rStyle w:val="FootnoteAnchor"/>
          <w:rtl w:val="true"/>
        </w:rPr>
        <w:footnoteReference w:id="95"/>
      </w:r>
      <w:r>
        <w:rPr>
          <w:rFonts w:ascii="IRNazanin" w:hAnsi="IRNazanin" w:eastAsia="IRNazanin"/>
          <w:color w:val="111111"/>
          <w:sz w:val="28"/>
          <w:sz w:val="28"/>
          <w:szCs w:val="28"/>
          <w:rtl w:val="true"/>
          <w:lang w:bidi="fa-IR"/>
        </w:rPr>
        <w:t>و لم نَرَ بین هؤلاء اسم عطاء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الغسل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یصحّ طریق سعید بن جبیر إلی ابن عبّاس لوجود عباد بن منصور فیه، بعکس الطرق المسحیّة عن ابن عبّاس فقد ثبت ذهاب عکرمة إلی المسح، و نقل 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عکرمة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غسلتان و مسحتان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 ممّن اختصّوا بابن عبّاس و رووا أحادیثه فی المدوّنات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أجلس عند ابن عبّاس </w:t>
      </w:r>
    </w:p>
    <w:p>
      <w:pPr>
        <w:pStyle w:val="BookText"/>
        <w:rPr/>
      </w:pPr>
      <w:r>
        <w:rPr>
          <w:rFonts w:ascii="Amiri" w:hAnsi="Amiri" w:eastAsia="Amiri" w:cs="Amiri"/>
          <w:color w:val="111111"/>
          <w:sz w:val="28"/>
          <w:sz w:val="28"/>
          <w:szCs w:val="28"/>
          <w:rtl w:val="true"/>
          <w:lang w:bidi="ar-SA"/>
        </w:rPr>
        <w:t>ما کتبت عنه إلّا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ابن عیینة عن سفیان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أعلم بعلم ابن عبّاس رضی اللّٰه عنه من عمرو بن دینار، سمع ابن عبّاس و سمع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فاستبان إذن أنّ خبر المسح هو الأرجح نسبةً إلی ابن عبّاس بخلاف الغسل، و یؤکّده جردنا لرواة أسانید الغسل و المسح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الخبر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تری غالب الّذین رووا عن ابن عبّاس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جمیع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من أصحاب المدونات، بعکس رواة الغسل فلم یکن فیهم إلّا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یثبت الطریق إلیه، لوجود عبّاد بن منصور المضعّف عند الجمیع فی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بن بلال، و محمد بن عجلان و عبد اللّٰه بن إدریس، و هؤلاء کانوا من المدوِّنین إلّا أنّهم من المدوِّنین فی عصر التدوین الحکومی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أهمیّة لمدوّناتهم، بعکس رواة المسح؛ فإنّهم أئمّة متقدّمون، کعلی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عکرمة، و عمرو بن دینار، و عبد اللّه بن محمد بن عقیل، و جابر بن زید و غیرهم، فهؤلاء قد دوّنوا الحدیث قبل عصر التدوین الحکومی، و لذلک تکون لمدوّناتهم قیمة أکثر و منزلة أعظم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اتّضح أنّ الطرق المسحیّة عن ابن عبّاس هی أقوی سنداً و دلالة، و قد رویت بطرق متعدّدة و فی جمیع الطبقات عن المدوِّنین، و هذا یؤکّد أنّ استقرار الوضوء المسحی ثبت بجهود المدوِّنین القدماء علی مر الأجیال</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276_10126"/>
      <w:bookmarkStart w:id="69" w:name="pg1276_10126"/>
      <w:bookmarkEnd w:id="69"/>
    </w:p>
    <w:p>
      <w:pPr>
        <w:pStyle w:val="Heading2"/>
        <w:numPr>
          <w:ilvl w:val="1"/>
          <w:numId w:val="1"/>
        </w:numPr>
        <w:rPr/>
      </w:pPr>
      <w:bookmarkStart w:id="70" w:name="pg1276_10126"/>
      <w:bookmarkStart w:id="71" w:name="__RefHeading___Toc3231763_373438147"/>
      <w:bookmarkStart w:id="72" w:name="_Toc26"/>
      <w:bookmarkEnd w:id="70"/>
      <w:bookmarkEnd w:id="71"/>
      <w:r>
        <w:rPr>
          <w:rtl w:val="true"/>
        </w:rPr>
        <w:t>نسبة الخبر إلیه</w:t>
      </w:r>
      <w:bookmarkEnd w:id="72"/>
    </w:p>
    <w:p>
      <w:pPr>
        <w:pStyle w:val="Heading3"/>
        <w:numPr>
          <w:ilvl w:val="2"/>
          <w:numId w:val="1"/>
        </w:numPr>
        <w:rPr/>
      </w:pPr>
      <w:bookmarkStart w:id="73" w:name="__RefHeading___Toc3231765_373438147"/>
      <w:bookmarkStart w:id="74" w:name="_Toc27"/>
      <w:bookmarkEnd w:id="73"/>
      <w:r>
        <w:rPr>
          <w:rtl w:val="true"/>
        </w:rPr>
        <w:t>ظاهرة اختلاف النقل عن الصحابی</w:t>
      </w:r>
      <w:bookmarkEnd w:id="74"/>
    </w:p>
    <w:p>
      <w:pPr>
        <w:pStyle w:val="Heading4"/>
        <w:numPr>
          <w:ilvl w:val="3"/>
          <w:numId w:val="1"/>
        </w:numPr>
        <w:rPr/>
      </w:pPr>
      <w:bookmarkStart w:id="75" w:name="__RefHeading___Toc3231767_373438147"/>
      <w:bookmarkStart w:id="76" w:name="_Toc28"/>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 xml:space="preserve">قبل تطبیق مفردة اخری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لزاماً علینا التفصیل فی أحد أطراف المبانی المفروض طرحها فی مثل هذه الدراسات العلمیّة، و هو ما أکدناه أکثر من مرّة للباحثین من أنّ نهج الاجتهاد و الرأی و أنصاره، و تصحیحاً لقول الخلیفة و فعله، کانوا ینسبون ما یریدونه إلی أعیان الصحابة من خلال القول بأنّ علیّ بن أبی طالب و ابن مسعود و ابن عبّاس و جابر بن عبد اللّه و غیرهم قد ذهبوا إلی ما ذهب إلیه الخلیفة من رأی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الرؤیة توضّح ظاهرة من ظواهر اختلاف النقل عن الصحابی الواحد، خاصّة إن کان من الجناح المقابل لفقه الشیخین، و بالأحری </w:t>
      </w:r>
    </w:p>
    <w:p>
      <w:pPr>
        <w:pStyle w:val="BookText"/>
        <w:rPr/>
      </w:pPr>
      <w:r>
        <w:rPr>
          <w:rFonts w:ascii="IRNazanin" w:hAnsi="IRNazanin" w:eastAsia="IRNazanin"/>
          <w:color w:val="111111"/>
          <w:sz w:val="28"/>
          <w:sz w:val="28"/>
          <w:szCs w:val="28"/>
          <w:rtl w:val="true"/>
          <w:lang w:bidi="fa-IR"/>
        </w:rPr>
        <w:t>المقابل لفقه الاجتهاد و الرأی، و ذلک لکی یختلط الحابل بالنابل و الصحیح بالسقیم، و لکی یضیع موقف هؤلاء الصحابة من الحکم الشرعی ثمّ یتسنّی فی آخر الأمر تحکیم رأی الخلیفة و أتباع الرأی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اختلاف النقل عن الصحابی الواحد 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قیل من وجوه فی سبب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وجود نهج آخر فی الشریعة یتعبّد بالنصوص الصادرة عن اللّٰه و رسوله و لا یرتضی ما ذهب إلیه الخلیفة من رأی، و هذا لا یعنی أنّ جمیع آراء الخلیفة بعیدة عن التشریع و الواقع، بل فی کلامه ما یوافقه و فیه ما یخالفه، فإن کان اجتهاده وفق القرآن أُخذ به، و إلّا فیضرب به عرض الحائط؛ لأنّه لا قرآن و لا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الظاهرة هی الّتی دعتنا للتأکید أکثر من مرّة علی لزوم دراسة ملابسات الأخبار عند المسلمین کی نعرف من هم وراء الأحکام المتعارضة المتضاربة؟ و من هو المستفید منها؟ و نحن لا نحدّد ذلک بالخلفاء فقط، بل یمکن أن یکون الأمر راجعاً إلی شخصیات اخری کعائشة أمّ المؤمنین و أبی هریرة و غیرهما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لو وقفنا علی خلفیّات هذه المسائل و عرفنا المفتی الأوّل بها أو الناقل الأوّل للحدیث عن رسول اللّٰه صلی الله علیه و آله؛ لأمکننا الوقوف علی الخیوط الخفیّة فی تعدّد الأحکام الشرعیّة، و ملابسات اختلاف المسلمین فی الفتاوی و الآراء</w:t>
      </w:r>
      <w:r>
        <w:rPr>
          <w:rFonts w:eastAsia="IRNazanin" w:cs="IRNazanin"/>
          <w:color w:val="111111"/>
          <w:sz w:val="28"/>
          <w:szCs w:val="28"/>
          <w:rtl w:val="true"/>
          <w:lang w:bidi="fa-IR"/>
        </w:rPr>
        <w:t xml:space="preserve">. </w:t>
      </w:r>
      <w:bookmarkStart w:id="77" w:name="pg1276_10128"/>
    </w:p>
    <w:p>
      <w:pPr>
        <w:pStyle w:val="Heading4"/>
        <w:numPr>
          <w:ilvl w:val="3"/>
          <w:numId w:val="1"/>
        </w:numPr>
        <w:rPr/>
      </w:pPr>
      <w:bookmarkStart w:id="78" w:name="__RefHeading___Toc3231769_373438147"/>
      <w:bookmarkStart w:id="79" w:name="_Toc29"/>
      <w:bookmarkEnd w:id="77"/>
      <w:bookmarkEnd w:id="78"/>
      <w:r>
        <w:rPr>
          <w:rtl w:val="true"/>
        </w:rPr>
        <w:t>نماذج من اختلاف النهجین</w:t>
      </w:r>
      <w:bookmarkEnd w:id="79"/>
    </w:p>
    <w:p>
      <w:pPr>
        <w:pStyle w:val="Heading5"/>
        <w:numPr>
          <w:ilvl w:val="4"/>
          <w:numId w:val="1"/>
        </w:numPr>
        <w:rPr/>
      </w:pPr>
      <w:bookmarkStart w:id="80" w:name="__RefHeading___Toc3231771_373438147"/>
      <w:bookmarkStart w:id="81" w:name="_Toc30"/>
      <w:bookmarkEnd w:id="80"/>
      <w:r>
        <w:rPr/>
        <w:t>1</w:t>
      </w:r>
      <w:r>
        <w:rPr>
          <w:rtl w:val="true"/>
        </w:rPr>
        <w:t xml:space="preserve">- </w:t>
      </w:r>
      <w:r>
        <w:rPr>
          <w:rtl w:val="true"/>
        </w:rPr>
        <w:t>المتعة</w:t>
      </w:r>
      <w:bookmarkEnd w:id="81"/>
    </w:p>
    <w:p>
      <w:pPr>
        <w:pStyle w:val="BookText"/>
        <w:rPr/>
      </w:pPr>
      <w:r>
        <w:rPr>
          <w:rFonts w:ascii="IRNazanin" w:hAnsi="IRNazanin" w:eastAsia="IRNazanin"/>
          <w:color w:val="111111"/>
          <w:sz w:val="28"/>
          <w:sz w:val="28"/>
          <w:szCs w:val="28"/>
          <w:rtl w:val="true"/>
          <w:lang w:bidi="fa-IR"/>
        </w:rPr>
        <w:t xml:space="preserve">فلو اتّخذنا قضیة المتعة مثلًا لرأینا امتداد النهجین واضحاً بیّناً فیها، فابن عبّاس </w:t>
      </w:r>
      <w:r>
        <w:rPr>
          <w:rStyle w:val="FootnoteAnchor"/>
          <w:rtl w:val="true"/>
        </w:rPr>
        <w:footnoteReference w:id="96"/>
      </w:r>
      <w:r>
        <w:rPr>
          <w:rFonts w:ascii="IRNazanin" w:hAnsi="IRNazanin" w:eastAsia="IRNazanin"/>
          <w:color w:val="111111"/>
          <w:sz w:val="28"/>
          <w:sz w:val="28"/>
          <w:szCs w:val="28"/>
          <w:rtl w:val="true"/>
          <w:lang w:bidi="fa-IR"/>
        </w:rPr>
        <w:t xml:space="preserve">و ابن عمر </w:t>
      </w:r>
      <w:r>
        <w:rPr>
          <w:rStyle w:val="FootnoteAnchor"/>
          <w:rtl w:val="true"/>
        </w:rPr>
        <w:footnoteReference w:id="97"/>
      </w:r>
      <w:r>
        <w:rPr>
          <w:rFonts w:ascii="IRNazanin" w:hAnsi="IRNazanin" w:eastAsia="IRNazanin"/>
          <w:color w:val="111111"/>
          <w:sz w:val="28"/>
          <w:sz w:val="28"/>
          <w:szCs w:val="28"/>
          <w:rtl w:val="true"/>
          <w:lang w:bidi="fa-IR"/>
        </w:rPr>
        <w:t xml:space="preserve">و سعد بن أبی وقاص </w:t>
      </w:r>
      <w:r>
        <w:rPr>
          <w:rStyle w:val="FootnoteAnchor"/>
          <w:rtl w:val="true"/>
        </w:rPr>
        <w:footnoteReference w:id="98"/>
      </w:r>
      <w:r>
        <w:rPr>
          <w:rFonts w:ascii="IRNazanin" w:hAnsi="IRNazanin" w:eastAsia="IRNazanin"/>
          <w:color w:val="111111"/>
          <w:sz w:val="28"/>
          <w:sz w:val="28"/>
          <w:szCs w:val="28"/>
          <w:rtl w:val="true"/>
          <w:lang w:bidi="fa-IR"/>
        </w:rPr>
        <w:t xml:space="preserve">، و علیّ بن أبی طالب </w:t>
      </w:r>
      <w:r>
        <w:rPr>
          <w:rStyle w:val="FootnoteAnchor"/>
          <w:rtl w:val="true"/>
        </w:rPr>
        <w:footnoteReference w:id="99"/>
      </w:r>
      <w:r>
        <w:rPr>
          <w:rFonts w:ascii="IRNazanin" w:hAnsi="IRNazanin" w:eastAsia="IRNazanin"/>
          <w:color w:val="111111"/>
          <w:sz w:val="28"/>
          <w:sz w:val="28"/>
          <w:szCs w:val="28"/>
          <w:rtl w:val="true"/>
          <w:lang w:bidi="fa-IR"/>
        </w:rPr>
        <w:t xml:space="preserve">و أبو موسی الاشعری </w:t>
      </w:r>
      <w:r>
        <w:rPr>
          <w:rStyle w:val="FootnoteAnchor"/>
          <w:rtl w:val="true"/>
        </w:rPr>
        <w:footnoteReference w:id="100"/>
      </w:r>
      <w:r>
        <w:rPr>
          <w:rFonts w:ascii="IRNazanin" w:hAnsi="IRNazanin" w:eastAsia="IRNazanin"/>
          <w:color w:val="111111"/>
          <w:sz w:val="28"/>
          <w:sz w:val="28"/>
          <w:szCs w:val="28"/>
          <w:rtl w:val="true"/>
          <w:lang w:bidi="fa-IR"/>
        </w:rPr>
        <w:t xml:space="preserve">و غیرهم </w:t>
      </w:r>
      <w:r>
        <w:rPr>
          <w:rStyle w:val="FootnoteAnchor"/>
          <w:rtl w:val="true"/>
        </w:rPr>
        <w:footnoteReference w:id="101"/>
      </w:r>
      <w:r>
        <w:rPr>
          <w:rFonts w:ascii="IRNazanin" w:hAnsi="IRNazanin" w:eastAsia="IRNazanin"/>
          <w:color w:val="111111"/>
          <w:sz w:val="28"/>
          <w:sz w:val="28"/>
          <w:szCs w:val="28"/>
          <w:rtl w:val="true"/>
          <w:lang w:bidi="fa-IR"/>
        </w:rPr>
        <w:t>، یؤکّدون علی مشروعیة هذا الفعل و یعتبرونه فعلًا شرعیّاً نص علیه اللّٰه و رسوله و لم ینسخ قطّ</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عمر بن الخطاب </w:t>
      </w:r>
      <w:r>
        <w:rPr>
          <w:rStyle w:val="FootnoteAnchor"/>
          <w:rtl w:val="true"/>
        </w:rPr>
        <w:footnoteReference w:id="102"/>
      </w:r>
      <w:r>
        <w:rPr>
          <w:rFonts w:ascii="IRNazanin" w:hAnsi="IRNazanin" w:eastAsia="IRNazanin"/>
          <w:color w:val="111111"/>
          <w:sz w:val="28"/>
          <w:sz w:val="28"/>
          <w:szCs w:val="28"/>
          <w:rtl w:val="true"/>
          <w:lang w:bidi="fa-IR"/>
        </w:rPr>
        <w:t xml:space="preserve">و عثمان بن عفان </w:t>
      </w:r>
      <w:r>
        <w:rPr>
          <w:rStyle w:val="FootnoteAnchor"/>
          <w:rtl w:val="true"/>
        </w:rPr>
        <w:footnoteReference w:id="103"/>
      </w:r>
      <w:r>
        <w:rPr>
          <w:rFonts w:ascii="IRNazanin" w:hAnsi="IRNazanin" w:eastAsia="IRNazanin"/>
          <w:color w:val="111111"/>
          <w:sz w:val="28"/>
          <w:sz w:val="28"/>
          <w:szCs w:val="28"/>
          <w:rtl w:val="true"/>
          <w:lang w:bidi="fa-IR"/>
        </w:rPr>
        <w:t xml:space="preserve">و معاویة بن أبی </w:t>
      </w:r>
    </w:p>
    <w:p>
      <w:pPr>
        <w:pStyle w:val="BookText"/>
        <w:rPr/>
      </w:pPr>
      <w:r>
        <w:rPr>
          <w:rFonts w:ascii="IRNazanin" w:hAnsi="IRNazanin" w:eastAsia="IRNazanin"/>
          <w:color w:val="111111"/>
          <w:sz w:val="28"/>
          <w:sz w:val="28"/>
          <w:szCs w:val="28"/>
          <w:rtl w:val="true"/>
          <w:lang w:bidi="fa-IR"/>
        </w:rPr>
        <w:t xml:space="preserve">سفیان </w:t>
      </w:r>
      <w:r>
        <w:rPr>
          <w:rStyle w:val="FootnoteAnchor"/>
          <w:rtl w:val="true"/>
        </w:rPr>
        <w:footnoteReference w:id="104"/>
      </w:r>
      <w:r>
        <w:rPr>
          <w:rFonts w:ascii="IRNazanin" w:hAnsi="IRNazanin" w:eastAsia="IRNazanin"/>
          <w:color w:val="111111"/>
          <w:sz w:val="28"/>
          <w:sz w:val="28"/>
          <w:szCs w:val="28"/>
          <w:rtl w:val="true"/>
          <w:lang w:bidi="fa-IR"/>
        </w:rPr>
        <w:t>و أئمّة الفقه الحاکم فلا یرتضون ذلک الفعل، لأنّ الخلیفة عمر بن الخطّاب نهی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صلی الله علیه و آله حلالًا أنا أحرّمهما و أعاقب علیهما</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إنّها خطوة اتُّخذت لکی لا یجرأ أحدٌ علی مخالفة فتوی الخلیفة، بل لیسلّم الجمیع بما یراه و یذهب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عن أبی موسی الأشعری أنّه کان یفتی بالمتعة،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رویدک ببعض فتیاک، فإنّک لا تدری ما أحدث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لقیه بعد فسألهُ،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النبیّ صلی الله علیه و آله قد فعله و أصحابه، و لکنّی کرهت أن یضلوا معرّسین بهنّ فی الأراک ثمّ یروحون فی الحجّ تقطر رءوسهم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النصّ و أمثاله مما یؤکد فکرة خضوع الأحکام الشرعیة لرأی الخلیفة، إذ تری أبا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کبار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یمکنه أن یفتی بحکم المتعة؛ لأنّه لا یدری ما أحدث أمیر المؤمنین فی النسک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علیه التروّی حتی یأتی أمر الخلیفة و قراره الأخیر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فعلهم مع الصحابة الأحیاء، فکیف بالصحابة الأموات و بعد قرون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نستبعد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تقویة الجناح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ینسبوا إلی أعیان الصحابة قولًا فی النهی أو التشریع یوافق ما یذهبُ إلیه الخلیفة، و هذا ما فعلوه بالفعل فی کثیر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نُسب القول بتحریم المتعة إلی بعض أعیان الصحابة،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أبی طالب و ابن عبّاس و ابن مسعود و جابر </w:t>
      </w:r>
      <w:r>
        <w:rPr>
          <w:rStyle w:val="FootnoteAnchor"/>
          <w:rtl w:val="true"/>
        </w:rPr>
        <w:footnoteReference w:id="107"/>
      </w:r>
      <w:r>
        <w:rPr>
          <w:rFonts w:ascii="IRNazanin" w:hAnsi="IRNazanin" w:eastAsia="IRNazanin"/>
          <w:color w:val="111111"/>
          <w:sz w:val="28"/>
          <w:sz w:val="28"/>
          <w:szCs w:val="28"/>
          <w:rtl w:val="true"/>
          <w:lang w:bidi="fa-IR"/>
        </w:rPr>
        <w:t>و غیرهم، مع أنّ الثابت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نصوص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هؤلاء تؤکّد قولهم بالتحلیل </w:t>
      </w:r>
      <w:r>
        <w:rPr>
          <w:rStyle w:val="FootnoteAnchor"/>
          <w:rtl w:val="true"/>
        </w:rPr>
        <w:footnoteReference w:id="108"/>
      </w:r>
      <w:r>
        <w:rPr>
          <w:rFonts w:ascii="IRNazanin" w:hAnsi="IRNazanin" w:eastAsia="IRNazanin"/>
          <w:color w:val="111111"/>
          <w:sz w:val="28"/>
          <w:sz w:val="28"/>
          <w:szCs w:val="28"/>
          <w:rtl w:val="true"/>
          <w:lang w:bidi="fa-IR"/>
        </w:rPr>
        <w:t xml:space="preserve">، حتّی أنّ الإمام علی بن أبی طالب و ابن عمه عبد اللّه بن عبّاس کانا فی طلیعة المجیزین له و القائلین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نهی عمر لما زنی إلّا شقیّ أو إلّا شفی</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کذّب ابنُ عبّاس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ادعاء تحریم ذلک حین أحاله علی أمّه لیسألها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أیوب أنّ عروة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تتقی اللّٰه، ترخص فی المتعة؟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أمّک یا عُریّة؟ </w:t>
      </w:r>
    </w:p>
    <w:p>
      <w:pPr>
        <w:pStyle w:val="BookText"/>
        <w:rPr/>
      </w:pPr>
      <w:r>
        <w:rPr>
          <w:rFonts w:ascii="IRNazanin" w:hAnsi="IRNazanin" w:eastAsia="IRNazanin"/>
          <w:color w:val="111111"/>
          <w:sz w:val="28"/>
          <w:sz w:val="28"/>
          <w:szCs w:val="28"/>
          <w:rtl w:val="true"/>
          <w:lang w:bidi="fa-IR"/>
        </w:rPr>
        <w:t>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ابو بکر و عمر فلم یفعلا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أراکم منتهین حتی یعذبکم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نحدثکم عن النبی صلی الله علیه و آله و تحدثونا عن أبی بکر و عمر؟</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قوله للذین لا یعملون بقول الرسول 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أراکم منتهین حتّی یعذبکم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یصیبکم حجر من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نحدّثکم عن النبیّ صلی الله علیه و آله و تحدّثوننا عن أبی بکر و عمر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صرّح الإمام علی علیه السلام بأنّ الخلفاء من قبله قد عملوا أعمالًا خالفوا فیها رسول اللّٰه صلی الله علیه و آله مغیّرین لسنته؛ و عدّ منها المتعتین </w:t>
      </w:r>
      <w:r>
        <w:rPr>
          <w:rStyle w:val="FootnoteAnchor"/>
          <w:rtl w:val="true"/>
        </w:rPr>
        <w:footnoteReference w:id="112"/>
      </w:r>
      <w:r>
        <w:rPr>
          <w:rFonts w:ascii="IRNazanin" w:hAnsi="IRNazanin" w:eastAsia="IRNazanin"/>
          <w:color w:val="111111"/>
          <w:sz w:val="28"/>
          <w:sz w:val="28"/>
          <w:szCs w:val="28"/>
          <w:rtl w:val="true"/>
          <w:lang w:bidi="fa-IR"/>
        </w:rPr>
        <w:t>، فکیف ینسب بعد ذلک إلی علی علیه السلام القول بالتحریم؟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یزید الأمر وضوحاً أنّ المأمون العباسیّ لمّا سأَل الإمام الرضا علیه السلام أن یکتب له شرائع الإسلام علی الاختصار، کتب إلیه الرضا علیه السلام جملةَ ذلک، و منها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تحلیل المتعتین اللّتین أنزلهما اللّٰه تعالی فی کتابه و سنّهما رسول اللّٰه صلی الله علیه و آله؛ متعة النساء و متعة الحج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کانت قد عُقدت جلسات المناظرة مع أصحاب الأئمة، و کان السؤال عن المتعة فی رأس قائمة الأسئلة المطروحة فی تلکم المناظرات التی حفظها لنا التاریخ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المنع قد ثبت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تزعم مدرسة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 الإصرار من قبل آله فی الدفاع عن حلّیة التمتّع و التأکید علی أنّها مذهب أمیر المؤمنین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ذا غدا أشیاع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سهام الانتقاد و المحاربة، من أجل القول بمشروعیتها؟ و لِمَ تحاربُ الشیعة من أجله 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الحلّیة قد ثبت صدورها عن علیّ علیه السلام بطرق متعدّدة عند الفریقین، و أجمع علیها أئمة التعبّد المحض، و هو المحفوظ عنه فی الصحاح و الأخبار، و أمّا حدیث المنع المدّعی فیها و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انفرد بنقله أنصار مدرسة الاجتهاد و الرأی لمصالح ارتضوها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یزید الأمر تلبیساً هو اختلاف نقلهم عن علیّ علیه السلام، فتارة نقلوا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عنها رسول اللّٰه صلی الله علیه و آله یوم خیبر، 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حنین، و 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غزوة تبوک </w:t>
      </w:r>
      <w:r>
        <w:rPr>
          <w:rStyle w:val="FootnoteAnchor"/>
          <w:rtl w:val="true"/>
        </w:rPr>
        <w:footnoteReference w:id="115"/>
      </w:r>
      <w:r>
        <w:rPr>
          <w:rFonts w:ascii="IRNazanin" w:hAnsi="IRNazanin" w:eastAsia="IRNazanin"/>
          <w:color w:val="111111"/>
          <w:sz w:val="28"/>
          <w:sz w:val="28"/>
          <w:szCs w:val="28"/>
          <w:rtl w:val="true"/>
          <w:lang w:bidi="fa-IR"/>
        </w:rPr>
        <w:t>، و کذلک الحال بالنسبة إلی من نسبوا لهم بواطل الأقوال، کل ذلک لتأکید النسبة الیهم بهذه القیود الإضافیة</w:t>
      </w:r>
      <w:r>
        <w:rPr>
          <w:rFonts w:eastAsia="IRNazanin" w:cs="IRNazanin"/>
          <w:color w:val="111111"/>
          <w:sz w:val="28"/>
          <w:szCs w:val="28"/>
          <w:rtl w:val="true"/>
          <w:lang w:bidi="fa-IR"/>
        </w:rPr>
        <w:t xml:space="preserve">! </w:t>
      </w:r>
      <w:bookmarkStart w:id="82" w:name="pg1276_10133"/>
    </w:p>
    <w:p>
      <w:pPr>
        <w:pStyle w:val="Heading5"/>
        <w:numPr>
          <w:ilvl w:val="4"/>
          <w:numId w:val="1"/>
        </w:numPr>
        <w:rPr/>
      </w:pPr>
      <w:bookmarkStart w:id="83" w:name="__RefHeading___Toc3231773_373438147"/>
      <w:bookmarkStart w:id="84" w:name="_Toc31"/>
      <w:bookmarkEnd w:id="82"/>
      <w:bookmarkEnd w:id="83"/>
      <w:r>
        <w:rPr/>
        <w:t>2</w:t>
      </w:r>
      <w:r>
        <w:rPr>
          <w:rtl w:val="true"/>
        </w:rPr>
        <w:t xml:space="preserve">- </w:t>
      </w:r>
      <w:r>
        <w:rPr>
          <w:rtl w:val="true"/>
        </w:rPr>
        <w:t>صلاة التراویح</w:t>
      </w:r>
      <w:bookmarkEnd w:id="84"/>
    </w:p>
    <w:p>
      <w:pPr>
        <w:pStyle w:val="BookText"/>
        <w:rPr/>
      </w:pPr>
      <w:r>
        <w:rPr>
          <w:rFonts w:ascii="IRNazanin" w:hAnsi="IRNazanin" w:eastAsia="IRNazanin"/>
          <w:color w:val="111111"/>
          <w:sz w:val="28"/>
          <w:sz w:val="28"/>
          <w:szCs w:val="28"/>
          <w:rtl w:val="true"/>
          <w:lang w:bidi="fa-IR"/>
        </w:rPr>
        <w:t xml:space="preserve">و مثل قضیة المتعة مسألة صلاة التراویح؛ فقد ثبت عن عمر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البدعة هذه</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الیعقوبی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سنة أربع عشرة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عمر قیام شهر رمضان و کتب بذلک إلی البلدان، و أمر أبیّ بن کعب و تمیماً الداری أن یصلّیا بالناس، قیل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لم یفعله، و إن أبا بکر لم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تکن بدعة فما أحسنها من بدعة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ذلک لأنّه صلی الله علیه و آله کان قد خرج فی رمضان لیلًا للصلاة فی المسجد فائتمَّ به الناس، و فی الیوم الثانی کثر العدد، و فی الیوم الثالث کانوا أکثر، حتّی خرج بهم إلی خارج المسجد، فترک الرسول الخروج إلی المسجد خوفَ أن تفرض علیهم </w:t>
      </w:r>
      <w:r>
        <w:rPr>
          <w:rStyle w:val="FootnoteAnchor"/>
          <w:rtl w:val="true"/>
        </w:rPr>
        <w:footnoteReference w:id="118"/>
      </w:r>
      <w:r>
        <w:rPr>
          <w:rFonts w:ascii="IRNazanin" w:hAnsi="IRNazanin" w:eastAsia="IRNazanin"/>
          <w:color w:val="111111"/>
          <w:sz w:val="28"/>
          <w:sz w:val="28"/>
          <w:szCs w:val="28"/>
          <w:rtl w:val="true"/>
          <w:lang w:bidi="fa-IR"/>
        </w:rPr>
        <w:t>، فقد جعلوا هذا الخبر و أمثاله دلیلًا علی مشروعیة صلاة التراویح، مع أنّا نری الرسول صلی الله علیه و آله فی النص السابق قد ترکها و لم یرتضِ الإتیان بها جماعةً فی المسجد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الرأی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یریدون تشریع هذا </w:t>
      </w:r>
    </w:p>
    <w:p>
      <w:pPr>
        <w:pStyle w:val="BookText"/>
        <w:rPr/>
      </w:pPr>
      <w:r>
        <w:rPr>
          <w:rFonts w:ascii="IRNazanin" w:hAnsi="IRNazanin" w:eastAsia="IRNazanin"/>
          <w:color w:val="111111"/>
          <w:sz w:val="28"/>
          <w:sz w:val="28"/>
          <w:szCs w:val="28"/>
          <w:rtl w:val="true"/>
          <w:lang w:bidi="fa-IR"/>
        </w:rPr>
        <w:t xml:space="preserve">الأمر و یصرّون علی النبیّ صلی الله علیه و آله أن یأتی إلی المسجد للصّلاة بهم، بحیث کان بعضهم یتنحنح لیخرج الیهم </w:t>
      </w:r>
      <w:r>
        <w:rPr>
          <w:rStyle w:val="FootnoteAnchor"/>
          <w:rtl w:val="true"/>
        </w:rPr>
        <w:footnoteReference w:id="119"/>
      </w:r>
      <w:r>
        <w:rPr>
          <w:rFonts w:ascii="IRNazanin" w:hAnsi="IRNazanin" w:eastAsia="IRNazanin"/>
          <w:color w:val="111111"/>
          <w:sz w:val="28"/>
          <w:sz w:val="28"/>
          <w:szCs w:val="28"/>
          <w:rtl w:val="true"/>
          <w:lang w:bidi="fa-IR"/>
        </w:rPr>
        <w:t>، و 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و رسولُ اللّٰه صلی الله علیه و آله یقول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خشیتُ أن یکتب علیکم، و لو کتب علیکم ما قمتم به</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 أو یقول کما فی خبر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ما زال بکم صنیعکم حتّی ظننت أن سیکتب علیکم، فعلیکم بالصلاة فی بیوتکم، فإنّ خیر صلاة المرء فی بیته إلّا الصلاة المکتوبة</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الخبر دلیل علی عدم مشروعیة هذهِ الصلاة، لعدم ارتضاء رسول اللّٰه صلی الله علیه و آله الصلاة بهم حتی آخر حیاته، و کذا فی عهد الخلیفة الأوّل أبی بکر، حیث لم یکن لها وجود آنذاک، کما لم یکن لها وجود فی شطر من خلافة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الخلیفة عمر بن الخطّاب فیما بعد ارتضی هذا الأمر و سعی لتشریعه بکتابته للأمصار فی إتیان ذلک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 فی کتاب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نسبت التراویح إلی عمر بن الخطّاب رضی الله عنه، لأنّه جمع الناس علی أبیّ بن کعب، فکان یصلّیها بهم، فروی عبد الرحمن بن عبد القاری،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عمر لیله فی رمضان </w:t>
      </w:r>
    </w:p>
    <w:p>
      <w:pPr>
        <w:pStyle w:val="BookText"/>
        <w:rPr/>
      </w:pPr>
      <w:r>
        <w:rPr>
          <w:rFonts w:ascii="IRNazanin" w:hAnsi="IRNazanin" w:eastAsia="IRNazanin"/>
          <w:color w:val="111111"/>
          <w:sz w:val="28"/>
          <w:sz w:val="28"/>
          <w:szCs w:val="28"/>
          <w:rtl w:val="true"/>
          <w:lang w:bidi="fa-IR"/>
        </w:rPr>
        <w:t>فإذا الناس أوزاع متفرقون یصلی الرجل لنفسه، و یصلی الرجل فیصلی بصلاته الرهط،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لو جمع هؤلاء علی قارئ واحد لکان أمثل، ثمّ عزم فجمعهم علی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معه لیلة أخری و الناس یصلّون بصلاة قارئهم،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البدعة هذه</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خطأ، لأنّ صلاة التراویح إنما نسبت إلی عمر لأنّه أوّل من شرَّعها جماعةً و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أنّها کانت موجودة لکنّه جمعهم علی إمام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 بذلک صریح قول النبی صلی الله علیه و آله المتقدّم من أنّ الصلاة فی المسجد جماعةً إنّما هی للمکتوبة لا لغیرها، فإنّ خبر زید بن ثابت و غیره یکذّب دعوی ابن قدامة هذهِ، و یکذّبها أیضاً قول عمر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البدعة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کتابته إلی البلدان و الأمصار آمراً بنشرها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عمر بن الخطاب شرّع أمراً لم یکن شرعیاً علی عهد رسول اللّٰه صلی الله علیه و آله، فأراد تطبیقه بتعمیم کتابٍ إلی الأمصار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هذا فلا یستبعد أن تُنسَب إلی أعیان الصحابة أقوال توافق رأی الخلیفة و تقوّی ما ذهب الیه، حتّی نراهم فی بعض تلک النصوص یشیرون إلی خصوصیّات خاصّة منسوبة إلی بعض الصحابة کی یؤکدوا النسبة إلیه، فمن ذلک ما رواه عرفجة الثقفی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أبی طالب یأمر الناس بقیام شهر رمضان و یجعل للرجال إماماً و للنساء اماماً، فکنتُ أنا إمام النساء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أبی عبد الرحمن السلمیّ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قام بهم فی رمضان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فإنّهم جاءوا بهذه الأخبار لیضعّفوا الأخبار الأخری الثابتة عنه فی عدم مشروعیة صلاة التراویح و أنّها بدعة؛ لقوله فی خبر طویل مرویّ عن أهل بیته و ولده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لقد أمرتُ الناس ألّا یجتمعوا فی شهر رمضان إلّا فی فریضة و أعلمتهم أنّ اجتماعهم فی النوافل بدعة</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و یؤیّد هذا النقل عن أهل البیت و کون الاجتماع فی النوافل بدعة خبر عمر بن الخطّاب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البدعة هی</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التهذیب بسنده إلی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 المؤمنین علیه السلام لمّا قدم الکوفة أمر الحسن بن علی علیهما السلام أن ینادی فی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فی شهر رمضان فی المساجد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فی الناس الحسن بن علی علیهما السلام بما أمره به أمیر المؤمنین علیه السلام؛ فلمّا سمع الناس مقالة الحسن بن علی علیهما السلام صاحوا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الحسن علیه السلام إلی أمیر المؤمنین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الصوت؟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یصیحون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85" w:name="pg1276_10137"/>
    </w:p>
    <w:p>
      <w:pPr>
        <w:pStyle w:val="Heading5"/>
        <w:numPr>
          <w:ilvl w:val="4"/>
          <w:numId w:val="1"/>
        </w:numPr>
        <w:rPr/>
      </w:pPr>
      <w:bookmarkStart w:id="86" w:name="__RefHeading___Toc3231775_373438147"/>
      <w:bookmarkStart w:id="87" w:name="_Toc32"/>
      <w:bookmarkEnd w:id="85"/>
      <w:bookmarkEnd w:id="86"/>
      <w:r>
        <w:rPr/>
        <w:t>3</w:t>
      </w:r>
      <w:r>
        <w:rPr>
          <w:rtl w:val="true"/>
        </w:rPr>
        <w:t xml:space="preserve">- </w:t>
      </w:r>
      <w:r>
        <w:rPr>
          <w:rtl w:val="true"/>
        </w:rPr>
        <w:t>الصلاة بین الطلوعین و قبل الغروب</w:t>
      </w:r>
      <w:bookmarkEnd w:id="87"/>
    </w:p>
    <w:p>
      <w:pPr>
        <w:pStyle w:val="BookText"/>
        <w:rPr/>
      </w:pPr>
      <w:r>
        <w:rPr>
          <w:rFonts w:ascii="IRNazanin" w:hAnsi="IRNazanin" w:eastAsia="IRNazanin"/>
          <w:color w:val="111111"/>
          <w:sz w:val="28"/>
          <w:sz w:val="28"/>
          <w:szCs w:val="28"/>
          <w:rtl w:val="true"/>
          <w:lang w:bidi="fa-IR"/>
        </w:rPr>
        <w:t>و نحن لو نظرنا إلی الصلاة بین الطلوعین و قبل الغروب لرأیناها کسابقتیها، حیث نهی عنها الخلیفة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مجمع الزوائد للهیثمی و غیره من المعاجم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تمیماً رکع رکعتین بعد نهی عمر بن الخطّاب عن الصلاة بعد العصر، فأتاه عمر فضربه بالدرة، فأشار إلیه تمیم أن 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عمر، ثمّ فرغ تمیم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تمیم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ضربتنی؟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رکعت هاتین و قد نَهَیْتُ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صلّیتهما مع من هو خیر منک،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بی أنتم الرهط، و لکن أخاف أن یأتی بعدکم قوم یصلون ما بین العصر و المغرب حتی یمرّوا بالساعة التی نهی رسول اللّٰه صلی الله علیه و آله أن یصلّوا فیها کما وصلوا ما بین الظهر و العصر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طاوس، عن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أیّوب الأنصاری کان یصلّی قبل خلافة عمر رکعتین بعد العصر، فلما استخلف عمر ترکهما، فلمّا توفّی رکعهما،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کان یضرب الناس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أبی لا یدعهما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فمن غیر البعید أن ینسب إلی ابن عبّاس و غیره نهیهم عن الصلاة بعد العصر، فی حین أنّهم کانوا قد فعلوا ذلک، و لو تأمّلتَ فی النصوص المجوّزة للصلاة بعد الوقتین عن ابن عباس لاتضح لک مدّعانا و سقم نسبة النهی بعد العصر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رووا عن ابن عبّاس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عندی رجال مرضیون و أرضاهم عندی عمر أنّ نبیّ اللّٰه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بعد العصر حتّی تغرب الشمس، و لا صلاة بعد الصبح حتی تطلع الشمس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یصلی دبر کلّ مکتوبة رکعتین إلّا العصر و الصبح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رووا عن علی علیه السلام عن النبی صلی الله علیه و آله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تصلوا بعد العصر إلّا أن تصلّوا و الشمس مرتفعة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ابن حزم روی فی المحلی بإسناده عن شعبة عن أبی جمرة نصر بن عمران الضبعی، عن ابن عبّاس،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عمر بن الخطّاب یضرب الناس علی الصلاة بعد العصر، ثمّ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إن شئت ما بینک و بین أن تغیب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یقولون فی الصاحب یروی الحدیث ثمّ </w:t>
      </w:r>
    </w:p>
    <w:p>
      <w:pPr>
        <w:pStyle w:val="BookText"/>
        <w:rPr/>
      </w:pPr>
      <w:r>
        <w:rPr>
          <w:rFonts w:ascii="IRNazanin" w:hAnsi="IRNazanin" w:eastAsia="IRNazanin"/>
          <w:color w:val="111111"/>
          <w:sz w:val="28"/>
          <w:sz w:val="28"/>
          <w:szCs w:val="28"/>
          <w:rtl w:val="true"/>
          <w:lang w:bidi="fa-IR"/>
        </w:rPr>
        <w:t>یخالفه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أنّه کان عنده علم بنسخه ما خالفه، فیلزمهم أن یقولوا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أنه کان عند ابن عبّاس علم أثبت من فعل عمر ما خالف ما کان علیه مع عمر، و بمثله عن شعبة عن ابن شعیب عن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ابن عمر عن الرکعتین بعد العصر؟ فرخّص فیهما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فالنصوص المدّعیة لنهی علی علیه السلام و ابن عباس عن هاتین الرکعتین تخالف ما ثبت عن ابن عبّاس و علی علیه السلام، و المدقّق فی کتب الفقه و الحدیث و التاریخ یعلم بأنّ الاتجاه الفقهی لمدرسة الاجتهاد و الرأی کان یسعی لتطبیق ما سنّ علی عهد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موقف معاویة فی حکم الصلاة بعد العصر مثلًا، کی تتأکّد لنا الحقیقة أکثر، إذ أخرج أحمد فی مسنده عن أبی النتاج،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حمران بن أبان یحدّث عن معاویة أنّه رأی ناساً یصلّون بعد العصر،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إنّکم تصلّون صلاة قد صحبنا النبیّ صلی الله علیه و آله ما رأیناه یصلیها و لقد نهی عنها، یعنی الرکعتین بعد العصر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ابن حزم بسنده إلی عبد اللّه بن الحارث بن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معاویة العصر فرأی ناساً یصلّون،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الصلاة؟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فتیا عبد اللّه بن الزبیر، فجاء عبد اللّه بن الزبیر مع الناس،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هذه الفتیا التی تفتی؛ أن یصلّوا بعد العصر؟ فقال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زوجة رسول اللّٰه صلی الله علیه و آله أنّه صلّی بعد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معاویة إلی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میمونة بنت الحارث، فأرسل إلی میمونة رسولین،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حدّثت أنّ رسول اللّٰه صلی الله علیه و آله کان یجهّز جیشاً فحبسوه حتی أرهق العصر، فصلّی العصر ثمّ رجع فصلّی ما کان یصلّی قبلها،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آله إذا صلی صلاة أو فعل شیئاً یحبّ أن یدوم علیه، فقال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صلی؟ و اللّٰه لنصلّینّه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حجة ابن الزبیر فلم یجز علیه الاعتراض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 عائشة کانت قد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 رسول اللّٰه صلی الله علیه و آله السجدتین بعد العصر عندی قط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إذا کان عندی بعد العصر صلّاهما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قد مرّ علیک أنّها قد صحّحت نظر عمر فی الصلاة بعد العصر بقولها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عمرُ إنّما نهی رسول اللّٰه صلی الله علیه و آله أن یتحرّی طلوع الشمس و غروبها </w:t>
      </w:r>
      <w:r>
        <w:rPr>
          <w:rStyle w:val="FootnoteAnchor"/>
          <w:rtl w:val="true"/>
        </w:rPr>
        <w:footnoteReference w:id="139"/>
      </w:r>
      <w:bookmarkStart w:id="88" w:name="pg1276_10141"/>
    </w:p>
    <w:p>
      <w:pPr>
        <w:pStyle w:val="Heading5"/>
        <w:numPr>
          <w:ilvl w:val="4"/>
          <w:numId w:val="1"/>
        </w:numPr>
        <w:rPr/>
      </w:pPr>
      <w:bookmarkStart w:id="89" w:name="__RefHeading___Toc3231777_373438147"/>
      <w:bookmarkStart w:id="90" w:name="_Toc33"/>
      <w:bookmarkEnd w:id="88"/>
      <w:bookmarkEnd w:id="89"/>
      <w:r>
        <w:rPr/>
        <w:t>4</w:t>
      </w:r>
      <w:r>
        <w:rPr>
          <w:rtl w:val="true"/>
        </w:rPr>
        <w:t xml:space="preserve">- </w:t>
      </w:r>
      <w:r>
        <w:rPr>
          <w:rtl w:val="true"/>
        </w:rPr>
        <w:t>بیع امهات الاولاد</w:t>
      </w:r>
      <w:bookmarkEnd w:id="90"/>
    </w:p>
    <w:p>
      <w:pPr>
        <w:pStyle w:val="BookText"/>
        <w:rPr/>
      </w:pPr>
      <w:r>
        <w:rPr>
          <w:rFonts w:ascii="IRNazanin" w:hAnsi="IRNazanin" w:eastAsia="IRNazanin"/>
          <w:color w:val="111111"/>
          <w:sz w:val="28"/>
          <w:sz w:val="28"/>
          <w:szCs w:val="28"/>
          <w:rtl w:val="true"/>
          <w:lang w:bidi="fa-IR"/>
        </w:rPr>
        <w:t xml:space="preserve">و أمّا بیع أمّهات الأولاد فهو الآخر من موارد ما نحن فیه، فقد کان أبو بکر و عمر یسمحان بذلک فی خلافتهما، و لکن ما لبث الخلیفة عمر بن الخطّاب أن انتبه إلی أنّه محرّم فحرّم بیعهن، و لأجل هذا نری نسبة جواز بیعهنَّ و رجوعه عنه إلی علی و ابن عبّاس و جابر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أخرج القاضی النعمان فی دعائم الإسلام، عن الباقر علیه السلام أنّه ذکر له عن عبیدة السلمانی أنه روی عن علی علیه السلام بیع أمّهات الأولاد، فقال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علی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کذب عبیدة علی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القوم أن ینسبوا إلیه الحکم بالقیاس، و لا یثبت لهم هذا أبداً، إنّما نحن أفراخ علیّ، فما حدّثناکم به عن علی فهو قوله، و ما أنکرناه فهو افتراء علیه، و نحن نعلم أنّ القیاس لیس من دین علی و إنّما یقیس من لا یعلم الکتاب و لا السنة، فلا تضلنّکم روایتهم، فإنّهم لا یدعون أن یضلوا و لا …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مرتضی الأنصاری، و هو من کبار علماء الإمامیة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الأخبار دلالة علی کونه من المنکرات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الإسلام، مثل ما روی من قول أمیر المؤمنین علیه السلام لمن سأله عن بیع </w:t>
      </w:r>
      <w:bookmarkStart w:id="91" w:name="pg1276_10142"/>
    </w:p>
    <w:p>
      <w:pPr>
        <w:pStyle w:val="BookText"/>
        <w:rPr/>
      </w:pPr>
      <w:bookmarkEnd w:id="91"/>
      <w:r>
        <w:rPr>
          <w:rFonts w:ascii="IRNazanin" w:hAnsi="IRNazanin" w:eastAsia="IRNazanin"/>
          <w:color w:val="111111"/>
          <w:sz w:val="28"/>
          <w:sz w:val="28"/>
          <w:szCs w:val="28"/>
          <w:rtl w:val="true"/>
          <w:lang w:bidi="fa-IR"/>
        </w:rPr>
        <w:t>أمةٍ أرضعت ولده،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بیدها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یشتری أمّ ولدی</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92" w:name="__RefHeading___Toc3231779_373438147"/>
      <w:bookmarkStart w:id="93" w:name="_Toc34"/>
      <w:bookmarkEnd w:id="92"/>
      <w:r>
        <w:rPr/>
        <w:t>5</w:t>
      </w:r>
      <w:r>
        <w:rPr>
          <w:rtl w:val="true"/>
        </w:rPr>
        <w:t xml:space="preserve">- </w:t>
      </w:r>
      <w:r>
        <w:rPr>
          <w:rtl w:val="true"/>
        </w:rPr>
        <w:t>المسح علی الخفّین</w:t>
      </w:r>
      <w:bookmarkEnd w:id="93"/>
    </w:p>
    <w:p>
      <w:pPr>
        <w:pStyle w:val="BookText"/>
        <w:rPr/>
      </w:pPr>
      <w:r>
        <w:rPr>
          <w:rFonts w:ascii="IRNazanin" w:hAnsi="IRNazanin" w:eastAsia="IRNazanin"/>
          <w:color w:val="111111"/>
          <w:sz w:val="28"/>
          <w:sz w:val="28"/>
          <w:szCs w:val="28"/>
          <w:rtl w:val="true"/>
          <w:lang w:bidi="fa-IR"/>
        </w:rPr>
        <w:t xml:space="preserve">و أمّا مسألة المسح علی الخفّین فهی الأخری تشابه ما سبقها، إذ ثبت عن عمر بن الخطاب أنّه کان یمسح علی خفّیه و یفتی بذلک </w:t>
      </w:r>
      <w:r>
        <w:rPr>
          <w:rStyle w:val="FootnoteAnchor"/>
          <w:rtl w:val="true"/>
        </w:rPr>
        <w:footnoteReference w:id="143"/>
      </w:r>
      <w:r>
        <w:rPr>
          <w:rFonts w:ascii="IRNazanin" w:hAnsi="IRNazanin" w:eastAsia="IRNazanin"/>
          <w:color w:val="111111"/>
          <w:sz w:val="28"/>
          <w:sz w:val="28"/>
          <w:szCs w:val="28"/>
          <w:rtl w:val="true"/>
          <w:lang w:bidi="fa-IR"/>
        </w:rPr>
        <w:t xml:space="preserve">، و یأمر به </w:t>
      </w:r>
      <w:r>
        <w:rPr>
          <w:rStyle w:val="FootnoteAnchor"/>
          <w:rtl w:val="true"/>
        </w:rPr>
        <w:footnoteReference w:id="144"/>
      </w:r>
      <w:r>
        <w:rPr>
          <w:rFonts w:ascii="IRNazanin" w:hAnsi="IRNazanin" w:eastAsia="IRNazanin"/>
          <w:color w:val="111111"/>
          <w:sz w:val="28"/>
          <w:sz w:val="28"/>
          <w:szCs w:val="28"/>
          <w:rtl w:val="true"/>
          <w:lang w:bidi="fa-IR"/>
        </w:rPr>
        <w:t xml:space="preserve">، و قد کتب إلی زید بن وهب الجهنی و هو بأذربیجان کتاباً فی ذلک، و هو یشترط الثلاث للمسافر و لیلة للمقیم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عنه فی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یختلجن فی نفس رجل مسلم أن یتوضّأ علی خفّیه و إن کان جاء من الغائط </w:t>
      </w:r>
      <w:r>
        <w:rPr>
          <w:rStyle w:val="FootnoteAnchor"/>
          <w:rtl w:val="true"/>
        </w:rPr>
        <w:footnoteReference w:id="146"/>
      </w:r>
      <w:r>
        <w:rPr>
          <w:rFonts w:ascii="IRNazanin" w:hAnsi="IRNazanin" w:eastAsia="IRNazanin"/>
          <w:color w:val="111111"/>
          <w:sz w:val="28"/>
          <w:sz w:val="28"/>
          <w:szCs w:val="28"/>
          <w:rtl w:val="true"/>
          <w:lang w:bidi="fa-IR"/>
        </w:rPr>
        <w:t xml:space="preserve">، و قد بال عمر مرة فمسح علی خفیه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لذلک، نُسبت إلی بعض الصحابة أقوالٌ تشابه ما قاله الخلیفة، فمن روی عنهم قولان علیّ بن أبی طالب، و ابن عبّاس، و عائشة، و ابن عمر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فقد نُسب إلی علیّ بن أبی طالب أنّه مسح علی خفیه </w:t>
      </w:r>
      <w:r>
        <w:rPr>
          <w:rStyle w:val="FootnoteAnchor"/>
          <w:rtl w:val="true"/>
        </w:rPr>
        <w:footnoteReference w:id="149"/>
      </w:r>
      <w:r>
        <w:rPr>
          <w:rFonts w:ascii="Amiri" w:hAnsi="Amiri" w:eastAsia="Amiri" w:cs="Amiri"/>
          <w:color w:val="111111"/>
          <w:sz w:val="28"/>
          <w:sz w:val="28"/>
          <w:szCs w:val="28"/>
          <w:rtl w:val="true"/>
          <w:lang w:bidi="ar-SA"/>
        </w:rPr>
        <w:t>، و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للمسافر ثلاث لیال و یوم و لیلة للمقیم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ما نسب إلی ابن عبّاس </w:t>
      </w:r>
      <w:r>
        <w:rPr>
          <w:rStyle w:val="FootnoteAnchor"/>
          <w:rtl w:val="true"/>
        </w:rPr>
        <w:footnoteReference w:id="151"/>
      </w:r>
      <w:r>
        <w:rPr>
          <w:rFonts w:ascii="IRNazanin" w:hAnsi="IRNazanin" w:eastAsia="IRNazanin"/>
          <w:color w:val="111111"/>
          <w:sz w:val="28"/>
          <w:sz w:val="28"/>
          <w:szCs w:val="28"/>
          <w:rtl w:val="true"/>
          <w:lang w:bidi="fa-IR"/>
        </w:rPr>
        <w:t xml:space="preserve">و ابن مسعود </w:t>
      </w:r>
      <w:r>
        <w:rPr>
          <w:rStyle w:val="FootnoteAnchor"/>
          <w:rtl w:val="true"/>
        </w:rPr>
        <w:footnoteReference w:id="152"/>
      </w:r>
      <w:r>
        <w:rPr>
          <w:rFonts w:ascii="IRNazanin" w:hAnsi="IRNazanin" w:eastAsia="IRNazanin"/>
          <w:color w:val="111111"/>
          <w:sz w:val="28"/>
          <w:sz w:val="28"/>
          <w:szCs w:val="28"/>
          <w:rtl w:val="true"/>
          <w:lang w:bidi="fa-IR"/>
        </w:rPr>
        <w:t xml:space="preserve">، و کان عطاء هو الناسب إلی ابن عبّاس و ابن عمر قولهما بجواز المسح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سُئلت عائشة عن المسح علی الخفّین، فقالت لسائلها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علیّ بن أبی طالب فإنّه کان یسافر مع رسول اللّٰه صلی الله علیه و آله، فسألنا علیاً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للمسافر ثلاث و للمقیم لیلة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الباحث فی الفقه الاسلامی یعلم بأنّ مذهب علیّ بن أبی طالب، و عبد اللّه بن عبّاس، و عائشة، هو عدم جواز المسح علی الخفّین؛ لأنّه هو الراجح من مذهبهم؛ إذ ثبت عن علی و ابن عبّاس 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الکتاب </w:t>
      </w:r>
    </w:p>
    <w:p>
      <w:pPr>
        <w:pStyle w:val="BookText"/>
        <w:rPr/>
      </w:pPr>
      <w:r>
        <w:rPr>
          <w:rFonts w:ascii="Amiri" w:hAnsi="Amiri" w:eastAsia="Amiri" w:cs="Amiri"/>
          <w:color w:val="111111"/>
          <w:sz w:val="28"/>
          <w:sz w:val="28"/>
          <w:szCs w:val="28"/>
          <w:rtl w:val="true"/>
          <w:lang w:bidi="ar-SA"/>
        </w:rPr>
        <w:t xml:space="preserve">الخفّین </w:t>
      </w:r>
      <w:r>
        <w:rPr>
          <w:rStyle w:val="FootnoteAnchor"/>
          <w:rtl w:val="true"/>
        </w:rPr>
        <w:footnoteReference w:id="155"/>
      </w:r>
      <w:r>
        <w:rPr>
          <w:rFonts w:ascii="IRNazanin" w:hAnsi="IRNazanin" w:eastAsia="IRNazanin"/>
          <w:color w:val="111111"/>
          <w:sz w:val="28"/>
          <w:sz w:val="28"/>
          <w:szCs w:val="28"/>
          <w:rtl w:val="true"/>
          <w:lang w:bidi="fa-IR"/>
        </w:rPr>
        <w:t>، و جاء عن خصیف، أنّ مقسماً أخبره أنّ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عند عمر حین سأله سعد و ابن عمر عن المسح علی الخفین؟</w:t>
      </w:r>
    </w:p>
    <w:p>
      <w:pPr>
        <w:pStyle w:val="BookText"/>
        <w:rPr/>
      </w:pPr>
      <w:r>
        <w:rPr>
          <w:rFonts w:ascii="IRNazanin" w:hAnsi="IRNazanin" w:eastAsia="IRNazanin"/>
          <w:color w:val="111111"/>
          <w:sz w:val="28"/>
          <w:sz w:val="28"/>
          <w:szCs w:val="28"/>
          <w:rtl w:val="true"/>
          <w:lang w:bidi="fa-IR"/>
        </w:rPr>
        <w:t>فقضی عمر لسعد،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قد علمنا أنّ النبی صلی الله علیه و آله مسح علی خفّیه، و لکن أَ قَبْلَ المائدة أم 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رواة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بَعْدَها؟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یخبرک أحد أنّ النبی صلی الله علیه و آله مسح علیهما بعد ما أنزلت المائدة، فسکت عمر</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عن عائشة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أحزّهما أو أحز أصابعی بالسکین أحبّ إِلیّ من أن أمسح علیهما </w:t>
      </w:r>
      <w:r>
        <w:rPr>
          <w:rStyle w:val="FootnoteAnchor"/>
          <w:rtl w:val="true"/>
        </w:rPr>
        <w:footnoteReference w:id="157"/>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تقطع قدمای أحبُّ إِلیَّ من أن أمسح علی الخفّین،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أمسح علی جلد حمار أحبّ إلیّ من أن أمسح علی الخفین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انزعج الخلیفة عمر بن الخطّاب من قول عائشة هذا فقال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 xml:space="preserve">تأخذوا بقول امرأة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فهذه النصوص صریحة بأنّ مذهبَ عائشة و علی و ابن عبّاس هو عدم جواز المسح علی الخفین، و أمّا ما جاء عنهم فی جواز المسح فهو مما وضع لتأیید مذهب الخلیفة عمر بن الخطاب، و علیه فلا یمکن الرکون إلی هذه الأخبار بسهولة، لمخالفة هؤلاء الصحابة للخلیفة فی فهمه و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أتباع الاتجاه المقابل قد أتوا بهذه الأخبار تصحیحاً لمسارهم، و لکی یشککوا الناس فی المنقول عن المتعبدین، ثمّ تصحیح ما ذهب الیه عمر بن الخطّاب، و هذه حقیقة لا تخفی علی البصیر بملابسات التشریع الإسلامی، و جذور الاختلاف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تدبّرت فی موقف آخر من هذه المواقف، و هو نسبة المسح علی الخفین إلی أئمّة الطالبیّین کمحمد الباقر و زید بن علی بن الحسین و …</w:t>
      </w:r>
    </w:p>
    <w:p>
      <w:pPr>
        <w:pStyle w:val="BookText"/>
        <w:rPr/>
      </w:pPr>
      <w:r>
        <w:rPr>
          <w:rFonts w:ascii="IRNazanin" w:hAnsi="IRNazanin" w:eastAsia="IRNazanin"/>
          <w:color w:val="111111"/>
          <w:sz w:val="28"/>
          <w:sz w:val="28"/>
          <w:szCs w:val="28"/>
          <w:rtl w:val="true"/>
          <w:lang w:bidi="fa-IR"/>
        </w:rPr>
        <w:t>لعرفت صحّة مدّعانا، لأنّ الثابت عن فقه هؤلاء هو عکس المطروح عنهم فی مرویات أتباع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مسند الإمام زید بن علی، عن أبیه، عن جدّه الحسین بن علی رضی اللّٰه عنهما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نمسح علی الخفّین و لا العمامة و لا کُمَّة و لا خمار و لا جهاز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العیاشی فی تفسیره اعتراض الإمام علی علی الخلیفة عمر بن الخطّاب لتجویزه المسح علی الخفّینِ، و قوله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تفتی و أنت لا تدری؟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سبق الکتاب الخفین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مرّ قول ابن عبّاس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یخبرک أحد أن النبیَّ صلی الله علیه و آله مسَحَ علیهما بعد ما أنزلت المائدة، فسکت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أخرج أبو الفرج الاصبهانی فی مقاتل الطالبیین أخبار بعض المندسین فی صفوف یحیی بن عبد اللّه بن الحسن،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صحبه جماعة من أهل الکوفة، فیهم ابن الحسن بن صالح بن حی، کان یذهب مذهب الزیدیة البتریة فی تفضیل أبی بکر و عمر و عثمان فی ستّ سنین من إمارته، و إلی القول بکفره فی باقی عمره، یشرب النبیذ، و یمسح علی الخفین، و کان یخالف یحیی فی أمره، و یفسد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المؤذّن یوماً، و تشاغلت بطهوری و أقیمت الصلاة، فلم ینتظرنی و صلّی بأصحابی،فخرجت، فلمّا رأیته یصلی قمت أُصلّی ناحیة، و لم أُصلِّ معه، لعلمی أنّه یمسح علی الخفین، فلمّا صلّی، قال لأصحابه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 نقتلُ أنفسنا مع رجل لا یری الصلاة معنا و نحن عنده فی حال من لا یرضی </w:t>
      </w:r>
    </w:p>
    <w:p>
      <w:pPr>
        <w:pStyle w:val="BookText"/>
        <w:rPr/>
      </w:pPr>
      <w:r>
        <w:rPr>
          <w:rFonts w:ascii="IRNazanin" w:hAnsi="IRNazanin" w:eastAsia="IRNazanin"/>
          <w:color w:val="111111"/>
          <w:sz w:val="28"/>
          <w:sz w:val="28"/>
          <w:szCs w:val="28"/>
          <w:rtl w:val="true"/>
          <w:lang w:bidi="fa-IR"/>
        </w:rPr>
        <w:t xml:space="preserve">مذهبه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مصقلة عن الإمام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المسح علی الخفین؟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یراه ثلاثاً للمسافر، و یوماً و لیلة للمقیم، و کان أبی لا یراه فی سفر و لا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خرجتُ من عنده، وقفتُ علی عتبة الباب،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کانوا یقولون برأیهم فیخطئون و یصیبون، و کان أبی لا یقول برأیه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حبابة الوالبیة، عن أمیر المؤمنین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اهل بیت لا نمسح علی الخفین، فمن کان من شیعتنا فلیقتدِ بنا و لیستنَّ بسنّتنا، فإنّها سنّة رسول اللّٰه صلی الله علیه و آله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قیس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إسحاق عن المسح علی الخفین،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أدرکتُ الناس </w:t>
      </w:r>
      <w:r>
        <w:rPr>
          <w:rStyle w:val="FootnoteAnchor"/>
          <w:rtl w:val="true"/>
        </w:rPr>
        <w:footnoteReference w:id="165"/>
      </w:r>
      <w:r>
        <w:rPr>
          <w:rFonts w:ascii="IRNazanin" w:hAnsi="IRNazanin" w:eastAsia="IRNazanin"/>
          <w:color w:val="111111"/>
          <w:sz w:val="28"/>
          <w:sz w:val="28"/>
          <w:szCs w:val="28"/>
          <w:rtl w:val="true"/>
          <w:lang w:bidi="fa-IR"/>
        </w:rPr>
        <w:t>یمسحون حتّی لقیت رجلًا من بنی هاشم، لم أر مثله قط، محمد بن علی بن الحسین، فسألته عنها، فنهانی عنه،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علی أمیر المؤمنین یمسح علی الخفّین،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 المسحَ علی الخفّین،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مسحتُ منذ نهانی عنه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الأنساب للسمعانی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الموسائی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موسی بن </w:t>
      </w:r>
      <w:bookmarkStart w:id="94" w:name="pg1276_10148"/>
    </w:p>
    <w:p>
      <w:pPr>
        <w:pStyle w:val="BookText"/>
        <w:rPr/>
      </w:pPr>
      <w:bookmarkEnd w:id="94"/>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لا تقیة عندنا فی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الصلاة، و زیارة قبور الموتی، و ترک المسح علی الخفین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قبله جاء عن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التهذیب و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أتقی من ثلاث … و عدّ منها المسح علی الخفین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فمدرسة الاجتهاد و الرأی قد نسبت إلی الطالبیین جواز المسح علی الخفین، و أنت تری عدم تطابقه مع المنقول عنهم فی صحاح مرویّاتهم و الثابت من سیرتهم لحد هذا الیوم، و بعد هذا أرجو من المطالع أن یحکم بنفسه بقرب أیّ النقلین إلی علی و ابن عبّاس و بُعد الآخر عنهما، و هل حقّا أنّهما کانا یذهبان إلی المسح علی الخفین و حرمة المتعة و الصلاة بعد العصر و … أم أنّ ذلک من صُنع السیاسة؟</w:t>
      </w:r>
      <w:r>
        <w:rPr>
          <w:rFonts w:eastAsia="IRNazanin" w:cs="IRNazanin"/>
          <w:color w:val="111111"/>
          <w:sz w:val="28"/>
          <w:szCs w:val="28"/>
          <w:rtl w:val="true"/>
          <w:lang w:bidi="fa-IR"/>
        </w:rPr>
        <w:t>!!</w:t>
      </w:r>
    </w:p>
    <w:p>
      <w:pPr>
        <w:pStyle w:val="Heading5"/>
        <w:numPr>
          <w:ilvl w:val="4"/>
          <w:numId w:val="1"/>
        </w:numPr>
        <w:rPr/>
      </w:pPr>
      <w:bookmarkStart w:id="95" w:name="__RefHeading___Toc3231781_373438147"/>
      <w:bookmarkStart w:id="96" w:name="_Toc35"/>
      <w:bookmarkEnd w:id="95"/>
      <w:r>
        <w:rPr/>
        <w:t>6</w:t>
      </w:r>
      <w:r>
        <w:rPr>
          <w:rtl w:val="true"/>
        </w:rPr>
        <w:t xml:space="preserve">- </w:t>
      </w:r>
      <w:r>
        <w:rPr>
          <w:rtl w:val="true"/>
        </w:rPr>
        <w:t>التکبیرة علی المیت</w:t>
      </w:r>
      <w:bookmarkEnd w:id="96"/>
    </w:p>
    <w:p>
      <w:pPr>
        <w:pStyle w:val="BookText"/>
        <w:rPr/>
      </w:pPr>
      <w:r>
        <w:rPr>
          <w:rFonts w:ascii="IRNazanin" w:hAnsi="IRNazanin" w:eastAsia="IRNazanin"/>
          <w:color w:val="111111"/>
          <w:sz w:val="28"/>
          <w:sz w:val="28"/>
          <w:szCs w:val="28"/>
          <w:rtl w:val="true"/>
          <w:lang w:bidi="fa-IR"/>
        </w:rPr>
        <w:t>و بعد هذا أنتقل بالقارئ إلی مسألة أخری من مسائل التشریع الإسلامی و التی کان للخلیفة الثانی فیها رأی،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التکبیرات علی المیت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یکبّرون علی عهد رسول اللّٰه صلی الله علیه و آله سبعاً </w:t>
      </w:r>
    </w:p>
    <w:p>
      <w:pPr>
        <w:pStyle w:val="BookText"/>
        <w:rPr/>
      </w:pPr>
      <w:r>
        <w:rPr>
          <w:rFonts w:ascii="IRNazanin" w:hAnsi="IRNazanin" w:eastAsia="IRNazanin"/>
          <w:color w:val="111111"/>
          <w:sz w:val="28"/>
          <w:sz w:val="28"/>
          <w:szCs w:val="28"/>
          <w:rtl w:val="true"/>
          <w:lang w:bidi="fa-IR"/>
        </w:rPr>
        <w:t>و خمساً و ستاً،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فجمع عمر بن الخطّاب أصحاب رسول اللّٰه صلی الله علیه و آله، فأخبر کلُّ رجل بما رأی، فجمعهم عمر علی أربع تکبیرات کأطول الصلاة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التکبیر أربعاً و خمساً، فجمع عمرُ الناسَ علی أربع تکبیرات علی الجنازة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حزم فی 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مَن منع أکثر من أربع بخبر روینا من طریق وکیع، عن سفیان الثوری، عن عامر بن شقیق، عن أبی وائل،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عمر بن الخطّاب الناس فاستشارهم بالتکبیر علی الجنازة،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 النبیّ صلی الله علیه و آله سبعاً و خمساً و أربعاً، فجمعهم عمر علی أربع تکبیرات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روی حدیثاً عن أبی هریرة فی أنّ النبیّ صلی الله علیه و آله صلی علی النجاشی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ما جاء فی التکبیر علی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الباب عن ابن عبّاس و ابن أبی أوفی … </w:t>
      </w:r>
      <w:r>
        <w:rPr>
          <w:rStyle w:val="FootnoteAnchor"/>
          <w:rtl w:val="true"/>
        </w:rPr>
        <w:footnoteReference w:id="17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النصوص قد وضّحت لنا بأنّ الخلیفة عمر بن الخطّاب هو الذی </w:t>
      </w:r>
    </w:p>
    <w:p>
      <w:pPr>
        <w:pStyle w:val="BookText"/>
        <w:rPr/>
      </w:pPr>
      <w:r>
        <w:rPr>
          <w:rFonts w:ascii="IRNazanin" w:hAnsi="IRNazanin" w:eastAsia="IRNazanin"/>
          <w:color w:val="111111"/>
          <w:sz w:val="28"/>
          <w:sz w:val="28"/>
          <w:szCs w:val="28"/>
          <w:rtl w:val="true"/>
          <w:lang w:bidi="fa-IR"/>
        </w:rPr>
        <w:t>جمع الناس علی الأربع، رغم إرشاد الصحابة له بأنّ النبیّ صلی الله علیه و آله کبّر سبعاً و خمساً و أربعاً، فلا غرابة بعد هذا أن تنسب الأربع إلی أعیان الصحابة کابن عبّاس و زید بن أرقم دعماً لموقفه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نُقل عن زید بن أرقم و ابن عبّاس و غیرهما قولان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 و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بما أنّ النقل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یخالف ما جاء عنهم بطرق صحیحة أخری، و کان مما یفید رأی الخلیفة، فنحن نرجّح صحّة الثانی عنهما؛ لکونه من مذهبهما، و هو ما لا یرتضیه نهج الاجتهاد و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علی الفقه و الحدیث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أخرج أحمد فی مسنده 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زید بن أرقم علی جنازة فکبّر خمساً، فقام إلیه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لکنّی صلّیت خلف أبی القاسم خلیلی فکبّر خمساً، فلا أترکها أبداً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کلام زید بن أرقم إشارة إلی عدم ارتضائه مذهب عبد الرحمن بن أبی لیلی المُستَمَدّ من فقه عمر بن الخطّاب، لأنّه قد أصرّ علی إتیان الخَمْس رغم أخذ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و قوله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صلیت خلف أبی القاسم، خلیلی، فکبّر خمساً فلا أترکها ابداً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الجملة الآنفة عدة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أترکها أبداً، فتأمّل جیداً فی هذه المقاطع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فلا یصح انتساب الأربع لزید بن أرقم مع وجود نقل الخمس عنه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نقل عن زید هو النقل المنسوب إلی ابن عبّاس، فالمعروف عن الطالبیِّین هو تکبیرهم علی المیّت خمساً، و عدم ارتضائهم الأربع، إذ جاء فی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علی و غیر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بن عبد اللّه بن أبی الکرام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إبراهیم بن عبد اللّه بن الحسن علی جنازة بالبصرة، فکبّر علیها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نقصتَ واحدةً، و قد عرفت تکبیرة أهلک؟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أجمع للناس، و نحن إلی اجتماعهم محتاجون، و لیس فی تکبیرة ترکتها ضرر إن شاء اللّٰه تعالی، ففارقه عیسی و اعتزله، و بلغ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 عیسی یسأله أن یخذّل الزیدیة عن إبراهیم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فی مسند زید بن علی، عن أبیه، عن جدّه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علی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تبدأ فی التکبیرة الأولی بالحمد و الثناء </w:t>
      </w:r>
    </w:p>
    <w:p>
      <w:pPr>
        <w:pStyle w:val="BookText"/>
        <w:rPr/>
      </w:pPr>
      <w:r>
        <w:rPr>
          <w:rFonts w:ascii="IRNazanin" w:hAnsi="IRNazanin" w:eastAsia="IRNazanin"/>
          <w:color w:val="111111"/>
          <w:sz w:val="28"/>
          <w:sz w:val="28"/>
          <w:szCs w:val="28"/>
          <w:rtl w:val="true"/>
          <w:lang w:bidi="fa-IR"/>
        </w:rPr>
        <w:t>علی اللّٰه تبارک و تعالی، و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النبیّ صلی الله علیه و آله، و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لنفسک و المؤمنین و المؤمنات، و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للمیت و الاستغفار له، و فی الخامسة تکبّر و تسلم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عن أئمة أهل البیت مثله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فاتّحاد موقف إبراهیم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قرّر أنّ المفروض خمس تکبیرات لکنّه ترک واحدة لجمع الناس، و هو من ولد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زید و زید بن علی و الباقر و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ولد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ینبئ عن وحدة الفقه عندهم، و أنّ مذهب علیّ بن أبی طالب و ابن عبّاس و غیرهم من الطالبیین هو الخَمْس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علیک بأنّ ابن عباس کان قد صرح بأنّ الطلاق ثلاثاً لم یکن علی عهد رسول اللّٰه بل هو من إفتاء عمر بن الخطاب </w:t>
      </w:r>
      <w:r>
        <w:rPr>
          <w:rStyle w:val="FootnoteAnchor"/>
          <w:rtl w:val="true"/>
        </w:rPr>
        <w:footnoteReference w:id="177"/>
      </w:r>
      <w:r>
        <w:rPr>
          <w:rFonts w:ascii="IRNazanin" w:hAnsi="IRNazanin" w:eastAsia="IRNazanin"/>
          <w:color w:val="111111"/>
          <w:sz w:val="28"/>
          <w:sz w:val="28"/>
          <w:szCs w:val="28"/>
          <w:rtl w:val="true"/>
          <w:lang w:bidi="fa-IR"/>
        </w:rPr>
        <w:t xml:space="preserve">و کان ابن عباس یری أنّ ذلک یقع واحداً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العشرات من المفردات الفقهیة التی وقع التخالف فیها بین نهج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الاجتهاد و الرأی بزعامة عمر بن الخطاب، و نهج التعبّد المحض بریادة و قیادة علی بن أبی طالب و تلمیذه البار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الأهم فی ذلک کله هنا هو التخالف الأساسی بین عبد اللّه بن عباس المدافع عن الوضوء الثنائی المسحی، و بین عثمان بن عفّان مخترع الوضوء الثلاثی الغسلی، إذ أنّ عثمان بن عفان کان من رموز مدرسة الاجتهاد و الرأی التی وقف بوجهها عبد اللّه بن عباس بکل قوّة و صلابة و الیک بعض تلک النصوص</w:t>
      </w:r>
      <w:r>
        <w:rPr>
          <w:rFonts w:eastAsia="IRNazanin" w:cs="IRNazanin"/>
          <w:color w:val="111111"/>
          <w:sz w:val="28"/>
          <w:szCs w:val="28"/>
          <w:rtl w:val="true"/>
          <w:lang w:bidi="fa-IR"/>
        </w:rPr>
        <w:t xml:space="preserve">: </w:t>
      </w:r>
      <w:bookmarkStart w:id="97" w:name="pg1276_10154"/>
    </w:p>
    <w:p>
      <w:pPr>
        <w:pStyle w:val="Heading4"/>
        <w:numPr>
          <w:ilvl w:val="3"/>
          <w:numId w:val="1"/>
        </w:numPr>
        <w:rPr/>
      </w:pPr>
      <w:bookmarkStart w:id="98" w:name="__RefHeading___Toc3231783_373438147"/>
      <w:bookmarkStart w:id="99" w:name="_Toc36"/>
      <w:bookmarkEnd w:id="97"/>
      <w:bookmarkEnd w:id="98"/>
      <w:r>
        <w:rPr>
          <w:rtl w:val="true"/>
        </w:rPr>
        <w:t>بعض اختلافات ابن عباس و عثمان الفقهیة</w:t>
      </w:r>
      <w:bookmarkEnd w:id="99"/>
    </w:p>
    <w:p>
      <w:pPr>
        <w:pStyle w:val="Heading5"/>
        <w:numPr>
          <w:ilvl w:val="4"/>
          <w:numId w:val="1"/>
        </w:numPr>
        <w:rPr/>
      </w:pPr>
      <w:bookmarkStart w:id="100" w:name="__RefHeading___Toc3231785_373438147"/>
      <w:bookmarkStart w:id="101" w:name="_Toc37"/>
      <w:bookmarkEnd w:id="100"/>
      <w:r>
        <w:rPr/>
        <w:t>1</w:t>
      </w:r>
      <w:r>
        <w:rPr>
          <w:rtl w:val="true"/>
        </w:rPr>
        <w:t xml:space="preserve">- </w:t>
      </w:r>
      <w:r>
        <w:rPr>
          <w:rtl w:val="true"/>
        </w:rPr>
        <w:t>الصلاة بمنی</w:t>
      </w:r>
      <w:bookmarkEnd w:id="101"/>
    </w:p>
    <w:p>
      <w:pPr>
        <w:pStyle w:val="BookText"/>
        <w:rPr/>
      </w:pPr>
      <w:r>
        <w:rPr>
          <w:rFonts w:ascii="IRNazanin" w:hAnsi="IRNazanin" w:eastAsia="IRNazanin"/>
          <w:color w:val="111111"/>
          <w:sz w:val="28"/>
          <w:sz w:val="28"/>
          <w:szCs w:val="28"/>
          <w:rtl w:val="true"/>
          <w:lang w:bidi="fa-IR"/>
        </w:rPr>
        <w:t>من الثابت فی التاریخ أن عثمان بن عفان أتمّ الصلاة بمنی خلافاً لرسول اللّٰه و ابی بکر و عمر فاعترض علیه جمع من الصحابة منهم عبد اللّه ابن عباس، فعن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حمید الضمری ابن عباس،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أسافر فأقصر الصلاة فی السفر أم أتمها؟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تقصرها و لکن تمامها و سنة رسول اللّٰه، خرج رسول اللّٰه آمناً لا یخاف إلّا اللّٰه فصلّی اثنتین حتی رجع، ثمَّ خرج أبو بکر لا یخاف إلّا اللّٰه فصلّی رکعتین حتی رجع، ثمّ خرج عمر آمنا لا یخاف إلّا اللّٰه فصلّی اثنتین حتی رجع، ثمّ فعل ذلک عثمان ثُلُثَی إمارته أو شطرها ثمّ صلاها أربعا، ثمّ أخذ بها بنو أمیة </w:t>
      </w:r>
      <w:r>
        <w:rPr>
          <w:rStyle w:val="FootnoteAnchor"/>
          <w:rtl w:val="true"/>
        </w:rPr>
        <w:footnoteReference w:id="179"/>
      </w: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الذین خالفوه فی رأیه الذی استحدثه بمنی عدا ابن عباس</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أبی طالب </w:t>
      </w:r>
      <w:r>
        <w:rPr>
          <w:rStyle w:val="FootnoteAnchor"/>
          <w:rtl w:val="true"/>
        </w:rPr>
        <w:footnoteReference w:id="180"/>
      </w:r>
      <w:r>
        <w:rPr>
          <w:rFonts w:ascii="IRNazanin" w:hAnsi="IRNazanin" w:eastAsia="IRNazanin"/>
          <w:color w:val="111111"/>
          <w:sz w:val="28"/>
          <w:sz w:val="28"/>
          <w:szCs w:val="28"/>
          <w:rtl w:val="true"/>
          <w:lang w:bidi="fa-IR"/>
        </w:rPr>
        <w:t xml:space="preserve">، و عبد اللّه بن مسعود </w:t>
      </w:r>
      <w:r>
        <w:rPr>
          <w:rStyle w:val="FootnoteAnchor"/>
          <w:rtl w:val="true"/>
        </w:rPr>
        <w:footnoteReference w:id="181"/>
      </w:r>
      <w:r>
        <w:rPr>
          <w:rFonts w:ascii="IRNazanin" w:hAnsi="IRNazanin" w:eastAsia="IRNazanin"/>
          <w:color w:val="111111"/>
          <w:sz w:val="28"/>
          <w:sz w:val="28"/>
          <w:szCs w:val="28"/>
          <w:rtl w:val="true"/>
          <w:lang w:bidi="fa-IR"/>
        </w:rPr>
        <w:t xml:space="preserve">، و أنس بن مالک </w:t>
      </w:r>
      <w:r>
        <w:rPr>
          <w:rStyle w:val="FootnoteAnchor"/>
          <w:rtl w:val="true"/>
        </w:rPr>
        <w:footnoteReference w:id="182"/>
      </w:r>
      <w:r>
        <w:rPr>
          <w:rFonts w:ascii="IRNazanin" w:hAnsi="IRNazanin" w:eastAsia="IRNazanin"/>
          <w:color w:val="111111"/>
          <w:sz w:val="28"/>
          <w:sz w:val="28"/>
          <w:szCs w:val="28"/>
          <w:rtl w:val="true"/>
          <w:lang w:bidi="fa-IR"/>
        </w:rPr>
        <w:t xml:space="preserve">،و عمران </w:t>
      </w:r>
      <w:bookmarkStart w:id="102" w:name="pg1276_10155"/>
    </w:p>
    <w:p>
      <w:pPr>
        <w:pStyle w:val="BookText"/>
        <w:rPr/>
      </w:pPr>
      <w:bookmarkEnd w:id="102"/>
      <w:r>
        <w:rPr>
          <w:rFonts w:ascii="IRNazanin" w:hAnsi="IRNazanin" w:eastAsia="IRNazanin"/>
          <w:color w:val="111111"/>
          <w:sz w:val="28"/>
          <w:sz w:val="28"/>
          <w:szCs w:val="28"/>
          <w:rtl w:val="true"/>
          <w:lang w:bidi="fa-IR"/>
        </w:rPr>
        <w:t xml:space="preserve">بن الحصین </w:t>
      </w:r>
      <w:r>
        <w:rPr>
          <w:rStyle w:val="FootnoteAnchor"/>
          <w:rtl w:val="true"/>
        </w:rPr>
        <w:footnoteReference w:id="183"/>
      </w:r>
      <w:r>
        <w:rPr>
          <w:rFonts w:ascii="IRNazanin" w:hAnsi="IRNazanin" w:eastAsia="IRNazanin"/>
          <w:color w:val="111111"/>
          <w:sz w:val="28"/>
          <w:sz w:val="28"/>
          <w:szCs w:val="28"/>
          <w:rtl w:val="true"/>
          <w:lang w:bidi="fa-IR"/>
        </w:rPr>
        <w:t xml:space="preserve">، و عبد الرحمن بن عوف </w:t>
      </w:r>
      <w:r>
        <w:rPr>
          <w:rStyle w:val="FootnoteAnchor"/>
          <w:rtl w:val="true"/>
        </w:rPr>
        <w:footnoteReference w:id="184"/>
      </w:r>
      <w:r>
        <w:rPr>
          <w:rFonts w:ascii="IRNazanin" w:hAnsi="IRNazanin" w:eastAsia="IRNazanin"/>
          <w:color w:val="111111"/>
          <w:sz w:val="28"/>
          <w:sz w:val="28"/>
          <w:szCs w:val="28"/>
          <w:rtl w:val="true"/>
          <w:lang w:bidi="fa-IR"/>
        </w:rPr>
        <w:t xml:space="preserve">، و آخرون </w:t>
      </w:r>
      <w:r>
        <w:rPr>
          <w:rStyle w:val="FootnoteAnchor"/>
          <w:rtl w:val="true"/>
        </w:rPr>
        <w:footnoteReference w:id="185"/>
      </w:r>
      <w:r>
        <w:rPr>
          <w:rFonts w:ascii="IRNazanin" w:hAnsi="IRNazanin" w:eastAsia="IRNazanin"/>
          <w:color w:val="111111"/>
          <w:sz w:val="28"/>
          <w:sz w:val="28"/>
          <w:szCs w:val="28"/>
          <w:rtl w:val="true"/>
          <w:lang w:bidi="fa-IR"/>
        </w:rPr>
        <w:t>، و لما نفدت معاذیره التی فنّدها علیه المحتجون، لم یبق له إلّا أن یقول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رأیٌ رأیته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3231787_373438147"/>
      <w:bookmarkStart w:id="104" w:name="_Toc38"/>
      <w:bookmarkEnd w:id="103"/>
      <w:r>
        <w:rPr/>
        <w:t>2</w:t>
      </w:r>
      <w:r>
        <w:rPr>
          <w:rtl w:val="true"/>
        </w:rPr>
        <w:t xml:space="preserve">- </w:t>
      </w:r>
      <w:r>
        <w:rPr>
          <w:rtl w:val="true"/>
        </w:rPr>
        <w:t>تقدیم الخطبة علی الصلاة فی العیدین</w:t>
      </w:r>
      <w:bookmarkEnd w:id="104"/>
    </w:p>
    <w:p>
      <w:pPr>
        <w:pStyle w:val="BookText"/>
        <w:rPr/>
      </w:pPr>
      <w:r>
        <w:rPr>
          <w:rFonts w:ascii="IRNazanin" w:hAnsi="IRNazanin" w:eastAsia="IRNazanin"/>
          <w:color w:val="111111"/>
          <w:sz w:val="28"/>
          <w:sz w:val="28"/>
          <w:szCs w:val="28"/>
          <w:rtl w:val="true"/>
          <w:lang w:bidi="fa-IR"/>
        </w:rPr>
        <w:t>روی ابن المنذر عن عثمان باسناد صحیح إلی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خطب قبل الصلاة عثمان، صلّی بالناس ثمّ خطبهم فرأی ناساً لم یدرکوا الصلاة، ففعل ذلک، أی صار یخطب قبل الصلاة </w:t>
      </w:r>
      <w:r>
        <w:rPr>
          <w:rStyle w:val="FootnoteAnchor"/>
          <w:rtl w:val="true"/>
        </w:rPr>
        <w:footnoteReference w:id="18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ابن عباس و جمعاً آخر من الصحابة رووا عن رسول اللّٰه خلاف ما فعله عثمان، و أنه صلی الله علیه و آله کان یصلی قبل الخطبة، فقد أخرج البخاری و مسلم بسندهما عن طاوس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العید مع رسول اللّٰه و أبی بکر و عمر و عثمان فکلّهم کانوا یصلّون قبل الخطبة </w:t>
      </w:r>
      <w:r>
        <w:rPr>
          <w:rStyle w:val="FootnoteAnchor"/>
          <w:rtl w:val="true"/>
        </w:rPr>
        <w:footnoteReference w:id="188"/>
      </w:r>
      <w:bookmarkStart w:id="105" w:name="pg1276_10156"/>
    </w:p>
    <w:p>
      <w:pPr>
        <w:pStyle w:val="Heading5"/>
        <w:numPr>
          <w:ilvl w:val="4"/>
          <w:numId w:val="1"/>
        </w:numPr>
        <w:rPr/>
      </w:pPr>
      <w:bookmarkStart w:id="106" w:name="__RefHeading___Toc3231789_373438147"/>
      <w:bookmarkStart w:id="107" w:name="_Toc39"/>
      <w:bookmarkEnd w:id="105"/>
      <w:bookmarkEnd w:id="106"/>
      <w:r>
        <w:rPr/>
        <w:t>3</w:t>
      </w:r>
      <w:r>
        <w:rPr>
          <w:rtl w:val="true"/>
        </w:rPr>
        <w:t xml:space="preserve">- </w:t>
      </w:r>
      <w:r>
        <w:rPr>
          <w:rtl w:val="true"/>
        </w:rPr>
        <w:t>قتل المسلم بالذمی</w:t>
      </w:r>
      <w:bookmarkEnd w:id="107"/>
    </w:p>
    <w:p>
      <w:pPr>
        <w:pStyle w:val="BookText"/>
        <w:rPr/>
      </w:pPr>
      <w:r>
        <w:rPr>
          <w:rFonts w:ascii="IRNazanin" w:hAnsi="IRNazanin" w:eastAsia="IRNazanin"/>
          <w:color w:val="111111"/>
          <w:sz w:val="28"/>
          <w:sz w:val="28"/>
          <w:szCs w:val="28"/>
          <w:rtl w:val="true"/>
          <w:lang w:bidi="fa-IR"/>
        </w:rPr>
        <w:t>أخرج البیهقی بسنده عن عبد الرزاق، عن معمر، عن الزهری، عن سالم،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مسلماً قتل رجلًا من أهل الذمة عمداً و رفع إلی عثمان فلم یقتله و غلظ علیه الدیة مثل دیة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البیهقی بطریق آخر عن الزهری أنّ ابن شاس الجذامی قتل رجلًا من أنباط الشام فرفع إلی عثمان رضی اللّٰه عنه فأمر بقتله فکلّمه الزبیر رضی اللّٰه عنه و ناس من أصحاب رسول اللّٰه صلی الله علیه و آله رضی اللّٰه عنهم فنهوه عن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دیته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جمع من الصحابة منهم ابن عباس عن النبی صلی الله علیه و آله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مؤمن بکافر</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و هو یشیر إلی تخالف مواقف عثمان بن عفان مع مواقف عبد اللّه بن عباس</w:t>
      </w:r>
      <w:r>
        <w:rPr>
          <w:rFonts w:eastAsia="IRNazanin" w:cs="IRNazanin"/>
          <w:color w:val="111111"/>
          <w:sz w:val="28"/>
          <w:szCs w:val="28"/>
          <w:rtl w:val="true"/>
          <w:lang w:bidi="fa-IR"/>
        </w:rPr>
        <w:t>.</w:t>
      </w:r>
    </w:p>
    <w:p>
      <w:pPr>
        <w:pStyle w:val="Heading5"/>
        <w:numPr>
          <w:ilvl w:val="4"/>
          <w:numId w:val="1"/>
        </w:numPr>
        <w:rPr/>
      </w:pPr>
      <w:bookmarkStart w:id="108" w:name="__RefHeading___Toc3231791_373438147"/>
      <w:bookmarkStart w:id="109" w:name="_Toc40"/>
      <w:bookmarkEnd w:id="108"/>
      <w:r>
        <w:rPr/>
        <w:t>4</w:t>
      </w:r>
      <w:r>
        <w:rPr>
          <w:rtl w:val="true"/>
        </w:rPr>
        <w:t xml:space="preserve">- </w:t>
      </w:r>
      <w:r>
        <w:rPr>
          <w:rtl w:val="true"/>
        </w:rPr>
        <w:t>الارث</w:t>
      </w:r>
      <w:bookmarkEnd w:id="109"/>
    </w:p>
    <w:p>
      <w:pPr>
        <w:pStyle w:val="BookText"/>
        <w:rPr/>
      </w:pPr>
      <w:r>
        <w:rPr>
          <w:rFonts w:ascii="Amiri" w:hAnsi="Amiri" w:eastAsia="Amiri" w:cs="Amiri"/>
          <w:color w:val="111111"/>
          <w:sz w:val="28"/>
          <w:sz w:val="28"/>
          <w:szCs w:val="28"/>
          <w:rtl w:val="true"/>
          <w:lang w:bidi="ar-SA"/>
        </w:rPr>
        <w:t>عن شعبة،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عثمان بن عفان رضی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الأخوین لا یردّان الأم عن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فالأخوان بلسان قومک لیسا بأخوة؟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أن أردّ ما کان قبلی و مضیٰ فی الأمصار و توارث به الناس</w:t>
      </w:r>
      <w:r>
        <w:rPr>
          <w:rFonts w:eastAsia="IRNazanin" w:cs="IRNazanin"/>
          <w:color w:val="111111"/>
          <w:sz w:val="28"/>
          <w:szCs w:val="28"/>
          <w:rtl w:val="true"/>
          <w:lang w:bidi="fa-IR"/>
        </w:rPr>
        <w:t xml:space="preserve">. </w:t>
      </w:r>
      <w:bookmarkStart w:id="110" w:name="pg1276_10157"/>
    </w:p>
    <w:p>
      <w:pPr>
        <w:pStyle w:val="BookText"/>
        <w:rPr/>
      </w:pPr>
      <w:bookmarkEnd w:id="110"/>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الإسناد و لم یخرّجاه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المفردات تدل علی مدی وقوف ابن عباس المتعبّد بوجه عثمان العامل بآرائه، و مدی تمسّک ابن عباس بسنة النبی صلی الله علیه و آله بعد القرآن المجید، بخلاف عثمان الذی اعتذر بمثل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أستطیع أن أردّ ما کان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مخالف للقرآن و السنة المطهرة، و هذا التضاد و التخالف یؤکد أصالة الوضوء المسحی عند ابن عباس الذی یتقاطع مع مؤسس الوضوء الغسلی عثمان بن عفان</w:t>
      </w:r>
      <w:r>
        <w:rPr>
          <w:rFonts w:eastAsia="IRNazanin" w:cs="IRNazanin"/>
          <w:color w:val="111111"/>
          <w:sz w:val="28"/>
          <w:szCs w:val="28"/>
          <w:rtl w:val="true"/>
          <w:lang w:bidi="fa-IR"/>
        </w:rPr>
        <w:t>.</w:t>
      </w:r>
    </w:p>
    <w:p>
      <w:pPr>
        <w:pStyle w:val="Heading4"/>
        <w:numPr>
          <w:ilvl w:val="3"/>
          <w:numId w:val="1"/>
        </w:numPr>
        <w:rPr/>
      </w:pPr>
      <w:bookmarkStart w:id="111" w:name="__RefHeading___Toc3231793_373438147"/>
      <w:bookmarkStart w:id="112" w:name="_Toc41"/>
      <w:bookmarkEnd w:id="111"/>
      <w:r>
        <w:rPr>
          <w:rtl w:val="true"/>
        </w:rPr>
        <w:t>ابن عباس و الحکومات سیاسة و فقهاً</w:t>
      </w:r>
      <w:bookmarkEnd w:id="112"/>
    </w:p>
    <w:p>
      <w:pPr>
        <w:pStyle w:val="BookText"/>
        <w:rPr/>
      </w:pPr>
      <w:r>
        <w:rPr>
          <w:rFonts w:ascii="IRNazanin" w:hAnsi="IRNazanin" w:eastAsia="IRNazanin"/>
          <w:color w:val="111111"/>
          <w:sz w:val="28"/>
          <w:sz w:val="28"/>
          <w:szCs w:val="28"/>
          <w:rtl w:val="true"/>
          <w:lang w:bidi="fa-IR"/>
        </w:rPr>
        <w:t>بعد هذه المقدمة السریعة لا بدّ لنا من الوقوف علی موقف ابن عبّاس من الرأی عموماً، و من الخلیفة عمر بن الخطّاب و عثمان بن عفان علی وجه الخصوص، و أنّه إلی أیّ الاتجاهین ینتمی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المحض أو الرأی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 تقارب موقف و فقه ابن عبّاس مع موقف و فقه علیّ بن أبی طالب أو تخالفه معه، و هما من مدرسة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التیمی،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عمر بن الخطّاب ذات یوم فجعل یحدّث نفسه، فأرسل إلی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تختلف هذه الأمّة و کتابها واحد، و نبیها واحد، و قبلتها واحدة؟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 علینا القرآن فقرأناه، </w:t>
      </w:r>
      <w:bookmarkStart w:id="113" w:name="pg1276_10158"/>
    </w:p>
    <w:p>
      <w:pPr>
        <w:pStyle w:val="BookText"/>
        <w:rPr/>
      </w:pPr>
      <w:bookmarkEnd w:id="113"/>
      <w:r>
        <w:rPr>
          <w:rFonts w:ascii="IRNazanin" w:hAnsi="IRNazanin" w:eastAsia="IRNazanin"/>
          <w:color w:val="111111"/>
          <w:sz w:val="28"/>
          <w:sz w:val="28"/>
          <w:szCs w:val="28"/>
          <w:rtl w:val="true"/>
          <w:lang w:bidi="fa-IR"/>
        </w:rPr>
        <w:t>و علمنا فیما نزل، و إنّه یکون بعدنا أقوام یقرءون القرآن لا یعرفون فیمَ نزل، فیکون لکلّ قوم رأی، فإذا کان لکلّ قوم رأی اختلفوا، فإذا اختلفوا اقتتلوا، فزبره عمر و انتهره، و انصرف ابنُ عبّاس، ثمّ دعاه بعدُ، فعرف الذی 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 أعِد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3231795_373438147"/>
      <w:bookmarkStart w:id="115" w:name="_Toc42"/>
      <w:bookmarkEnd w:id="114"/>
      <w:r>
        <w:rPr>
          <w:rtl w:val="true"/>
        </w:rPr>
        <w:t>ابن عبّاس و الخلافة</w:t>
      </w:r>
      <w:bookmarkEnd w:id="115"/>
    </w:p>
    <w:p>
      <w:pPr>
        <w:pStyle w:val="BookText"/>
        <w:rPr/>
      </w:pPr>
      <w:r>
        <w:rPr>
          <w:rFonts w:ascii="IRNazanin" w:hAnsi="IRNazanin" w:eastAsia="IRNazanin"/>
          <w:color w:val="111111"/>
          <w:sz w:val="28"/>
          <w:sz w:val="28"/>
          <w:szCs w:val="28"/>
          <w:rtl w:val="true"/>
          <w:lang w:bidi="fa-IR"/>
        </w:rPr>
        <w:t>عرف عن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 عبد اللّه أنّهما کانا من المدافعین عن خلافة علیّ بن أبی طالب و المقرّین بفضله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العباس قد تخلّف عن بیعة أبی بکر و لم یشارک فی اجتماع السقیفة مع جمع آخر من الصحابة، بل بقی إلی جنب علی یجهّزان رسول اللّٰه صلی الله علیه و آله حتی وُورِیَ فی التراب، و فی مواقف العبّاس فی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ما یؤکّد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بالنسبة إلی ابنه عبد اللّه، فهو الآخر قد کان من المدافعین عن خلافة الإمام علیّ و المقرّین بفضله، و أنّه هو و أولاده أحقّ الناس بالأمر بعد رسول اللّٰه صلی الله علیه و آله، و لو قرأت الحوار الذی دار بین المهدی العباسی و شریک القاضی لصدّقتنا فیما نقوله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شریک علی المهدی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أن تُقَلَّد الحکم بین المسلمین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لخلافک علی الجماعة، و قولک بالإمامة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بخلافک علی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الجماعة أخذتُ دینی، فکیف أخالفهم و هم أصلٌ فی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قولک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أعرف إلّا کتاب اللّٰه و سنّة رسوله صلی الله علیه و آله، و أمّا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ما یقلّد الحکم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شی‌ء أنتم فعلتموه، فإن کان خطأً فاستغفروا اللّٰه منه،و إن کان صواباً فأمسکوا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علی بن أبی طالب؟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فیه جدّک العباس،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قالا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العباس فمات و علیٌّ عنده أفضل الصحابة، و قد کان یری کبراء المهاجرین یسألونه عما ینزل من النوازل، و ما احتاج هو إلی أحد حتی لحق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یضرب بین یدیه بسیفین، و کان فی حروبه رأساً متّبعاً و قائداً مطاعاً، فلو کانت إمامته علی جور کان أوّل من یقعد عنها أبوک؛ لعلمه بدین اللّٰه، و فقهه فی أحکام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فسکت المهدیّ و أطرق، و لم یمضِ بعد هذا المجلس إلّا قلیل حتی عزل شریک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ناحیة أخری نری أنّ ابن عبّاس لم یشارک مع أبی بکر فی حروبه، و کانت له اعتراضات علی مواقف أبی بکر الفقهیّة، و مثل هذا کان حاله </w:t>
      </w:r>
    </w:p>
    <w:p>
      <w:pPr>
        <w:pStyle w:val="BookText"/>
        <w:rPr/>
      </w:pPr>
      <w:r>
        <w:rPr>
          <w:rFonts w:ascii="IRNazanin" w:hAnsi="IRNazanin" w:eastAsia="IRNazanin"/>
          <w:color w:val="111111"/>
          <w:sz w:val="28"/>
          <w:sz w:val="28"/>
          <w:szCs w:val="28"/>
          <w:rtl w:val="true"/>
          <w:lang w:bidi="fa-IR"/>
        </w:rPr>
        <w:t>مع عمر بن الخطّاب، إذ اعترض علی بعض اجتهاداته، و لم یرتضِ أخذ القوم بتلک الاجتهادات لمخالفتها لسنة رسول اللّٰه صلی الله علیه و آله، و قوله لهم فی المتعة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أراهم سیهلکون،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عن عمر قوله لابن عبّاس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ابن عبّاس فقد بلغنی عنک کلام أکره أن أخبرک به فتزول منزلتک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لا تزال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الأمر منّا حسداً و ظلماً …</w:t>
      </w:r>
    </w:p>
    <w:p>
      <w:pPr>
        <w:pStyle w:val="BookText"/>
        <w:rPr/>
      </w:pPr>
      <w:r>
        <w:rPr>
          <w:rFonts w:ascii="IRNazanin" w:hAnsi="IRNazanin" w:eastAsia="IRNazanin"/>
          <w:color w:val="111111"/>
          <w:sz w:val="28"/>
          <w:sz w:val="28"/>
          <w:szCs w:val="28"/>
          <w:rtl w:val="true"/>
          <w:lang w:bidi="fa-IR"/>
        </w:rPr>
        <w:t>فأخذ ابن عبّاس یدافع عن أحقّیة أهل البیت بالخلافة، و لم یتنازل لعمر، فقال عمر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علی ما کان منک لَراعٍ حقَّک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عن ابن عبّاس إرادته القول لعمر لما علّل سبب إبعاد علیاً عن الخلافة بصغر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فتستصغره أنت و صاحبک و کان رسول اللّٰه صلی الله علیه و آله یبعثه فی الکتیبة فینطح کبشها …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هذه المفردات و ما ضارَعَها تشیر إلی تخالف ابن عبّاس مع رموز الخلافة فقهاً و سیاسة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عمر بن الخطّاب قد أعرض عن تولیة بنی هاشم أیام خلافته موضحاً سبب ذلک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تولیته علی حمص بعد موت </w:t>
      </w:r>
    </w:p>
    <w:p>
      <w:pPr>
        <w:pStyle w:val="BookText"/>
        <w:rPr/>
      </w:pPr>
      <w:r>
        <w:rPr>
          <w:rFonts w:ascii="IRNazanin" w:hAnsi="IRNazanin" w:eastAsia="IRNazanin"/>
          <w:color w:val="111111"/>
          <w:sz w:val="28"/>
          <w:sz w:val="28"/>
          <w:szCs w:val="28"/>
          <w:rtl w:val="true"/>
          <w:lang w:bidi="fa-IR"/>
        </w:rPr>
        <w:t>والیها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خشیت أن یأتی علیّ الذی هو 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علی عملک،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إلینا، و لا هَلُمَّ إلیکم دون غیرکم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فابن عبّاس فی الوقت الذی لم یشارک أبا بکر فی حروب الردة و عمر بن الخطّاب فی غزواته، نراه یحارب فی صفّ علیّ بن أبی طالب فی حروبه الثلاثة ضد الناکثین </w:t>
      </w:r>
      <w:r>
        <w:rPr>
          <w:rStyle w:val="FootnoteAnchor"/>
          <w:rtl w:val="true"/>
        </w:rPr>
        <w:footnoteReference w:id="196"/>
      </w:r>
      <w:r>
        <w:rPr>
          <w:rFonts w:ascii="IRNazanin" w:hAnsi="IRNazanin" w:eastAsia="IRNazanin"/>
          <w:color w:val="111111"/>
          <w:sz w:val="28"/>
          <w:sz w:val="28"/>
          <w:szCs w:val="28"/>
          <w:rtl w:val="true"/>
          <w:lang w:bidi="fa-IR"/>
        </w:rPr>
        <w:t xml:space="preserve">و القاسطین </w:t>
      </w:r>
      <w:r>
        <w:rPr>
          <w:rStyle w:val="FootnoteAnchor"/>
          <w:rtl w:val="true"/>
        </w:rPr>
        <w:footnoteReference w:id="197"/>
      </w:r>
      <w:r>
        <w:rPr>
          <w:rFonts w:ascii="IRNazanin" w:hAnsi="IRNazanin" w:eastAsia="IRNazanin"/>
          <w:color w:val="111111"/>
          <w:sz w:val="28"/>
          <w:sz w:val="28"/>
          <w:szCs w:val="28"/>
          <w:rtl w:val="true"/>
          <w:lang w:bidi="fa-IR"/>
        </w:rPr>
        <w:t xml:space="preserve">و المارقین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اختاره الإمام علی للمحاجة مع الخوارج، و قبله للتحکیم بین جیشه و أهل الشام، لکنّ القوم لم یرتضوه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اعترض ابن عبّاس علی عثمان و معاویة و ابن الزبیر و عائشة یوم الجمل، و جاء عنه قوله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ترض أن یُدفَنَ الإمام الحسن بن علی عند جدّه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وا سوأتاه، یوم علی جمل و یوم علی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الذی أخذه الشاعر فخاطب عائشة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تجملتِ، تبغلتِ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عشتِ تفیلتِ</w:t>
      </w:r>
    </w:p>
    <w:p>
      <w:pPr>
        <w:pStyle w:val="BookText"/>
        <w:rPr/>
      </w:pPr>
      <w:r>
        <w:rPr>
          <w:rFonts w:ascii="Amiri" w:hAnsi="Amiri" w:eastAsia="Amiri" w:cs="Amiri"/>
          <w:color w:val="111111"/>
          <w:sz w:val="28"/>
          <w:sz w:val="28"/>
          <w:szCs w:val="28"/>
          <w:rtl w:val="true"/>
          <w:lang w:bidi="ar-SA"/>
        </w:rPr>
        <w:t xml:space="preserve">لکِ التُّسعُ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بِالکُلِّ تَصرَّفْتِ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منه إلی سماحها بدفن الشیخین بجوار رسول اللّٰه صلی الله علیه و آله و منعها من دفن الحسن و هو سبطه و ابن بنته، فتصرّفت بأضعاف من حصتها من </w:t>
      </w:r>
      <w:bookmarkStart w:id="116" w:name="pg1276_10162"/>
    </w:p>
    <w:p>
      <w:pPr>
        <w:pStyle w:val="BookText"/>
        <w:rPr/>
      </w:pPr>
      <w:bookmarkEnd w:id="116"/>
      <w:r>
        <w:rPr>
          <w:rFonts w:ascii="IRNazanin" w:hAnsi="IRNazanin" w:eastAsia="IRNazanin"/>
          <w:color w:val="111111"/>
          <w:sz w:val="28"/>
          <w:sz w:val="28"/>
          <w:szCs w:val="28"/>
          <w:rtl w:val="true"/>
          <w:lang w:bidi="fa-IR"/>
        </w:rPr>
        <w:t>الإرث علی القول بتوریثها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لا خوف الإطالة فی التحقیق لتوسّعنا فی الموضوع، و لکنّا رأینا الرجوع إلی تقدیم بعض النماذج الحیّة علی وحدة الفقه بین علیّ بن أبی طالب و عبد 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کلیهما من نهج التعبد المحض المدافع عن سنة رسول اللّٰه صلی الله علیه و آله و ما نزل به الوحی، و المخالف لنهج الاجتهاد و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الأَولی بهذا المقام</w:t>
      </w:r>
      <w:r>
        <w:rPr>
          <w:rFonts w:eastAsia="IRNazanin" w:cs="IRNazanin"/>
          <w:color w:val="111111"/>
          <w:sz w:val="28"/>
          <w:szCs w:val="28"/>
          <w:rtl w:val="true"/>
          <w:lang w:bidi="fa-IR"/>
        </w:rPr>
        <w:t>.</w:t>
      </w:r>
    </w:p>
    <w:p>
      <w:pPr>
        <w:pStyle w:val="Heading4"/>
        <w:numPr>
          <w:ilvl w:val="3"/>
          <w:numId w:val="1"/>
        </w:numPr>
        <w:rPr/>
      </w:pPr>
      <w:bookmarkStart w:id="117" w:name="__RefHeading___Toc3231797_373438147"/>
      <w:bookmarkStart w:id="118" w:name="_Toc43"/>
      <w:bookmarkEnd w:id="117"/>
      <w:r>
        <w:rPr>
          <w:rtl w:val="true"/>
        </w:rPr>
        <w:t>وحدة الفقه بین علی و ابن عبّاس</w:t>
      </w:r>
      <w:bookmarkEnd w:id="118"/>
    </w:p>
    <w:p>
      <w:pPr>
        <w:pStyle w:val="Heading5"/>
        <w:numPr>
          <w:ilvl w:val="4"/>
          <w:numId w:val="1"/>
        </w:numPr>
        <w:rPr/>
      </w:pPr>
      <w:bookmarkStart w:id="119" w:name="__RefHeading___Toc3231799_373438147"/>
      <w:bookmarkStart w:id="120" w:name="_Toc44"/>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مرت علیک فی الصفحات السابقة بعض المواقف الفقهیة لابن عبّاس و اتحادها مع فقه علیّ بن أبی طالب، کالتلبیة، و المتعة، و عدم جواز المسح علی الخفّین، و لزوم تدوین حدیث رسول اللّٰه صلی الله علیه و آله و …، و الآن مع بیان مفردات أخری نوضّح علی ضوئها استقاء کلّ من علی و ابن عباس، بل کل الطالبیین و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إمامیّة، و إسماعیلیة، و 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معین واحد، ألا و هو القرآن الکریم و السنة النبویّة المطهرة، دون الاجتهاد و الرأی، إذ لیس ما یقولونه باجتهاد من قبلهم بل هو اتّباع للنصوص، و إلیک بعض تلک الموارد</w:t>
      </w:r>
      <w:r>
        <w:rPr>
          <w:rFonts w:eastAsia="IRNazanin" w:cs="IRNazanin"/>
          <w:color w:val="111111"/>
          <w:sz w:val="28"/>
          <w:szCs w:val="28"/>
          <w:rtl w:val="true"/>
          <w:lang w:bidi="fa-IR"/>
        </w:rPr>
        <w:t>:</w:t>
      </w:r>
    </w:p>
    <w:p>
      <w:pPr>
        <w:pStyle w:val="Heading5"/>
        <w:numPr>
          <w:ilvl w:val="4"/>
          <w:numId w:val="1"/>
        </w:numPr>
        <w:rPr/>
      </w:pPr>
      <w:bookmarkStart w:id="121" w:name="__RefHeading___Toc3231801_373438147"/>
      <w:bookmarkStart w:id="122" w:name="_Toc45"/>
      <w:bookmarkEnd w:id="121"/>
      <w:r>
        <w:rPr/>
        <w:t>1</w:t>
      </w:r>
      <w:r>
        <w:rPr>
          <w:rtl w:val="true"/>
        </w:rPr>
        <w:t xml:space="preserve">- </w:t>
      </w:r>
      <w:r>
        <w:rPr>
          <w:rtl w:val="true"/>
        </w:rPr>
        <w:t>البسملة</w:t>
      </w:r>
      <w:bookmarkEnd w:id="12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فقه ابن عبّاس مع علیّ بن أبی طالب علی جعل البسملة آیة من کتاب اللّٰه، و لزوم الجهر بها فی الصلوات الجهریة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فجاء 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 الناس </w:t>
      </w:r>
      <w:r>
        <w:rPr>
          <w:rStyle w:val="FootnoteAnchor"/>
          <w:rtl w:val="true"/>
        </w:rPr>
        <w:footnoteReference w:id="199"/>
      </w:r>
      <w:r>
        <w:rPr>
          <w:rFonts w:ascii="IRNazanin" w:hAnsi="IRNazanin" w:eastAsia="IRNazanin"/>
          <w:color w:val="111111"/>
          <w:sz w:val="28"/>
          <w:sz w:val="28"/>
          <w:szCs w:val="28"/>
          <w:rtl w:val="true"/>
          <w:lang w:bidi="fa-IR"/>
        </w:rPr>
        <w:t xml:space="preserve">آیة من کتاب اللّٰه تعالی لم تنزل علی أحد سوی النبی صلی الله علیه و آله إلّا أن یکون سلیمان بن داود، بسم اللّٰه الرّحمن الرّحیم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الطبرانی بسنده إلی یحیی بن حمزة الدمشقی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المهدی فجهر ببسم اللّٰه الرّحمن الرّحیم، فقلت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کان یجهر ببسم اللّٰه الرّحمن الرّحیم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جاء عن أولاد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و الصادق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آل محمّد علی الجهر ببسم اللّٰه الرّحمن الرّحیم </w:t>
      </w:r>
      <w:r>
        <w:rPr>
          <w:rStyle w:val="FootnoteAnchor"/>
          <w:rtl w:val="true"/>
        </w:rPr>
        <w:footnoteReference w:id="20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الباقر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الصلاة خلف من لا یجهر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عن السجاد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اجتمعنا ولد فاطمة علی ذلک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هذا، و إنّ الجهر بالبسملة قد عدّ فی أخبار وفقه آل البیت من علائم المؤمن </w:t>
      </w:r>
      <w:r>
        <w:rPr>
          <w:rStyle w:val="FootnoteAnchor"/>
          <w:rtl w:val="true"/>
        </w:rPr>
        <w:footnoteReference w:id="205"/>
      </w:r>
      <w:r>
        <w:rPr>
          <w:rFonts w:ascii="IRNazanin" w:hAnsi="IRNazanin" w:eastAsia="IRNazanin"/>
          <w:color w:val="111111"/>
          <w:sz w:val="28"/>
          <w:sz w:val="28"/>
          <w:szCs w:val="28"/>
          <w:rtl w:val="true"/>
          <w:lang w:bidi="fa-IR"/>
        </w:rPr>
        <w:t xml:space="preserve">، و هو ما یؤکّد وحدة الفقه عند الطالبیین فی البسملة و تخالفه مع فقه النهج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الاجتهاد و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عن شعیب أنّه طلب من سفیان الثوری أن یحدّثه بحدیث السنة، فقال الثوری فی حدیث طویل،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أشیاء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تری أنّ إخفاءَ بسم اللّٰه الرّحمن الرّحیم أفضلُ من الجهر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 أبا هریرة صرّح بأنّ الناس هم الذین ترکوا البسملة بعد رسول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یجهر ببسم اللّٰه الرّحمن الرّحیم، ثمّ ترکه الناس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الناسُ انساقوا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فی هذه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بنی أمیّة، إذ قال فخر الدین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کان یبالغ فی الجهر بالتسمیة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وصلت الدولة إلی بنی أمیّة بالغوا فی المنع من الجهر؛ سعیاً </w:t>
      </w:r>
      <w:bookmarkStart w:id="123" w:name="pg1276_10165"/>
    </w:p>
    <w:p>
      <w:pPr>
        <w:pStyle w:val="BookText"/>
        <w:rPr/>
      </w:pPr>
      <w:bookmarkEnd w:id="123"/>
      <w:r>
        <w:rPr>
          <w:rFonts w:ascii="IRNazanin" w:hAnsi="IRNazanin" w:eastAsia="IRNazanin"/>
          <w:color w:val="111111"/>
          <w:sz w:val="28"/>
          <w:sz w:val="28"/>
          <w:szCs w:val="28"/>
          <w:rtl w:val="true"/>
          <w:lang w:bidi="fa-IR"/>
        </w:rPr>
        <w:t xml:space="preserve">فی إبطال آثار علی علیه السلام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3231803_373438147"/>
      <w:bookmarkStart w:id="125" w:name="_Toc46"/>
      <w:bookmarkEnd w:id="124"/>
      <w:r>
        <w:rPr/>
        <w:t>2</w:t>
      </w:r>
      <w:r>
        <w:rPr>
          <w:rtl w:val="true"/>
        </w:rPr>
        <w:t xml:space="preserve">- </w:t>
      </w:r>
      <w:r>
        <w:rPr>
          <w:rtl w:val="true"/>
        </w:rPr>
        <w:t>الخمس</w:t>
      </w:r>
      <w:bookmarkEnd w:id="125"/>
    </w:p>
    <w:p>
      <w:pPr>
        <w:pStyle w:val="BookText"/>
        <w:rPr/>
      </w:pPr>
      <w:r>
        <w:rPr>
          <w:rFonts w:ascii="IRNazanin" w:hAnsi="IRNazanin" w:eastAsia="IRNazanin"/>
          <w:color w:val="111111"/>
          <w:sz w:val="28"/>
          <w:sz w:val="28"/>
          <w:szCs w:val="28"/>
          <w:rtl w:val="true"/>
          <w:lang w:bidi="fa-IR"/>
        </w:rPr>
        <w:t>المعروف عن ابن عبّاس إیمانه بکون الخمس لبنی هاشم خاصّة، خلافاً للنهج الحاکم الذی کان یغمط آل النبی حقّهم، فمن ذلک قوله لنجدة الحروری لمّا سأله عن ذوی القربی، لمن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نقول إنّا هم، فأبی ذلک علینا قومنا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کلها ذَوُو قربی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قوله فی نص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قبض اللّٰهُ رسولَه ردّ أبو بکر نصیب القرابة فی المسلمین، فجعل یحمل به فی سبیل اللّٰه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قد جاء هذا المعنی فی کلام الامام علی و فاطمة الزهراء و غیرهما من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البیهقی عن عبد الرحمن بن أبی 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علیاً عند أحجار الزیت،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ما فعل أبو بکر و عمر فی حقّکم أهل البیت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حقّ و لا یبلغ علمی إذا کثر أن یکون لکم، فإن شئتم أعطیتکم منه بقدر ما أری لکم، فأبینا علیه إلّا کلّه، فأبی </w:t>
      </w:r>
      <w:bookmarkStart w:id="126" w:name="pg1276_10166"/>
    </w:p>
    <w:p>
      <w:pPr>
        <w:pStyle w:val="BookText"/>
        <w:rPr/>
      </w:pPr>
      <w:bookmarkEnd w:id="126"/>
      <w:r>
        <w:rPr>
          <w:rFonts w:ascii="IRNazanin" w:hAnsi="IRNazanin" w:eastAsia="IRNazanin"/>
          <w:color w:val="111111"/>
          <w:sz w:val="28"/>
          <w:sz w:val="28"/>
          <w:szCs w:val="28"/>
          <w:rtl w:val="true"/>
          <w:lang w:bidi="fa-IR"/>
        </w:rPr>
        <w:t xml:space="preserve">أن یعطینا کلّه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کان عمر بن الخطّاب قد قال مثل هذا الکلام لابن عبّاس، و أجابه ابن عبّاس بمثل جواب الإمام علیّ بن أبی طالب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النصوص تؤکّد وحدة المواقف و الفقه بین علی بن أبی طالب و ابن عبّاس، خصوصاً فی المسائل الفقهیة التی ذهبت الخلافة فیها إلی غیر مذهب أهل البیت و نهج التعبّد</w:t>
      </w:r>
      <w:r>
        <w:rPr>
          <w:rFonts w:eastAsia="IRNazanin" w:cs="IRNazanin"/>
          <w:color w:val="111111"/>
          <w:sz w:val="28"/>
          <w:szCs w:val="28"/>
          <w:rtl w:val="true"/>
          <w:lang w:bidi="fa-IR"/>
        </w:rPr>
        <w:t>.</w:t>
      </w:r>
    </w:p>
    <w:p>
      <w:pPr>
        <w:pStyle w:val="Heading5"/>
        <w:numPr>
          <w:ilvl w:val="4"/>
          <w:numId w:val="1"/>
        </w:numPr>
        <w:rPr/>
      </w:pPr>
      <w:bookmarkStart w:id="127" w:name="__RefHeading___Toc3231805_373438147"/>
      <w:bookmarkStart w:id="128" w:name="_Toc47"/>
      <w:bookmarkEnd w:id="127"/>
      <w:r>
        <w:rPr/>
        <w:t>3</w:t>
      </w:r>
      <w:r>
        <w:rPr>
          <w:rtl w:val="true"/>
        </w:rPr>
        <w:t xml:space="preserve">- </w:t>
      </w:r>
      <w:r>
        <w:rPr>
          <w:rtl w:val="true"/>
        </w:rPr>
        <w:t>التکبیر لکل رفع و خفض</w:t>
      </w:r>
      <w:bookmarkEnd w:id="128"/>
    </w:p>
    <w:p>
      <w:pPr>
        <w:pStyle w:val="BookText"/>
        <w:rPr/>
      </w:pPr>
      <w:r>
        <w:rPr>
          <w:rFonts w:ascii="IRNazanin" w:hAnsi="IRNazanin" w:eastAsia="IRNazanin"/>
          <w:color w:val="111111"/>
          <w:sz w:val="28"/>
          <w:sz w:val="28"/>
          <w:szCs w:val="28"/>
          <w:rtl w:val="true"/>
          <w:lang w:bidi="fa-IR"/>
        </w:rPr>
        <w:t>جاء عن مطرف بن عبد اللّه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علیّ بن أبی طالب رضی اللّٰه عنه أنا و عمران بن الحصین، فکان إذا سجد کبّر، و إذا رفع رأسه کبّر، و إذا نهض من الرکعتین کبّر، فلمّا قضی الصلاة أخذ بیدی عمرانُ بن الحصین،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ذکّرنی هذا صلاة محمّد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صلی بنا محمّد صلی الله علیه و آله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عکرمة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شیخ بمکة فکبّر ثنتین و عشرین تکبیرةً، فقلت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سنّة </w:t>
      </w:r>
    </w:p>
    <w:p>
      <w:pPr>
        <w:pStyle w:val="BookText"/>
        <w:rPr/>
      </w:pPr>
      <w:r>
        <w:rPr>
          <w:rFonts w:ascii="IRNazanin" w:hAnsi="IRNazanin" w:eastAsia="IRNazanin"/>
          <w:color w:val="111111"/>
          <w:sz w:val="28"/>
          <w:sz w:val="28"/>
          <w:szCs w:val="28"/>
          <w:rtl w:val="true"/>
          <w:lang w:bidi="fa-IR"/>
        </w:rPr>
        <w:t xml:space="preserve">أبی القاسم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یصلی فی مسجد النبی، فکان یکبر إذا سجد و إذا رفع و إذا خفض، فأنکرت ذلک، فذکرته لابن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صلاة رسول اللّٰه صلی الله علیه و آله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النضر بن کثیر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إلی جنبی عبد اللّه بن طاوس فی مسجد الخیف فکان إذا سجد السجدة الأولی فرفع رأسه منها رفع یدیه تلقاء وجهه، فأنکرت ذلک، فقلت لوهیب بن خالد، فقال له وهیب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شیئاً لم أر أحداً یصنعه؟</w:t>
      </w:r>
    </w:p>
    <w:p>
      <w:pPr>
        <w:pStyle w:val="BookText"/>
        <w:rPr/>
      </w:pPr>
      <w:r>
        <w:rPr>
          <w:rFonts w:ascii="IRNazanin" w:hAnsi="IRNazanin" w:eastAsia="IRNazanin"/>
          <w:color w:val="111111"/>
          <w:sz w:val="28"/>
          <w:sz w:val="28"/>
          <w:szCs w:val="28"/>
          <w:rtl w:val="true"/>
          <w:lang w:bidi="fa-IR"/>
        </w:rPr>
        <w:t>فقال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أبی یصنعه، و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عبّاس یصنعه، و لا أعلم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یصنعه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نهج الاجتهاد و الرأی لم یرتضِ الکثیر لکلّ رفع و خفض، فقد أخرج الشافعی فی کتاب الأمّ من طریق عبید بن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قدم المدینة فصلّی بهم فلم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یکبّر إذا خفض و إذا رفع، فناداه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سرقتَ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التکبیر إذا خفضت و إذا رفعت؟</w:t>
      </w:r>
      <w:r>
        <w:rPr>
          <w:rFonts w:eastAsia="IRNazanin" w:cs="IRNazanin"/>
          <w:color w:val="111111"/>
          <w:sz w:val="28"/>
          <w:szCs w:val="28"/>
          <w:rtl w:val="true"/>
          <w:lang w:bidi="fa-IR"/>
        </w:rPr>
        <w:t xml:space="preserve">! </w:t>
      </w:r>
      <w:bookmarkStart w:id="129" w:name="pg1276_10168"/>
    </w:p>
    <w:p>
      <w:pPr>
        <w:pStyle w:val="BookText"/>
        <w:rPr/>
      </w:pPr>
      <w:bookmarkEnd w:id="129"/>
      <w:r>
        <w:rPr>
          <w:rFonts w:ascii="IRNazanin" w:hAnsi="IRNazanin" w:eastAsia="IRNazanin"/>
          <w:color w:val="111111"/>
          <w:sz w:val="28"/>
          <w:sz w:val="28"/>
          <w:szCs w:val="28"/>
          <w:rtl w:val="true"/>
          <w:lang w:bidi="fa-IR"/>
        </w:rPr>
        <w:t>فصلی بهم صلاة أخری،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فیها الذی عابوا علیه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الشافعی قبل الخبر آنف الذکر خبراً عن أنس بن مالک،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معاویة بالمدینة صلاة، فجهر فیها بالقراءة، فقرأ بسم اللّٰه الرّحمن الرّحیم لأمّ القرآن، و لم یقرأ بها للسورة التی بعدها حتّی قضی تلک القراءة، و لم یکبّر حین یهوی حتی قضی تلک الصلاة، فلما سلّم ناداه من سمع ذلک من المهاجرین من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أ سرقتَ الصلاة أم نسیتَ؟</w:t>
      </w:r>
    </w:p>
    <w:p>
      <w:pPr>
        <w:pStyle w:val="BookText"/>
        <w:rPr/>
      </w:pPr>
      <w:r>
        <w:rPr>
          <w:rFonts w:ascii="Amiri" w:hAnsi="Amiri" w:eastAsia="Amiri" w:cs="Amiri"/>
          <w:color w:val="111111"/>
          <w:sz w:val="28"/>
          <w:sz w:val="28"/>
          <w:szCs w:val="28"/>
          <w:rtl w:val="true"/>
          <w:lang w:bidi="ar-SA"/>
        </w:rPr>
        <w:t xml:space="preserve">فلما صلّی بعد ذلک، قرأ بسم اللّٰه الرّحمن الرّحیم للسورة التی بعد أُمّ القرآن و کبّر حین یهوی ساجداً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3231807_373438147"/>
      <w:bookmarkStart w:id="131" w:name="_Toc48"/>
      <w:bookmarkEnd w:id="130"/>
      <w:r>
        <w:rPr/>
        <w:t>4</w:t>
      </w:r>
      <w:r>
        <w:rPr>
          <w:rtl w:val="true"/>
        </w:rPr>
        <w:t xml:space="preserve">- </w:t>
      </w:r>
      <w:r>
        <w:rPr>
          <w:rtl w:val="true"/>
        </w:rPr>
        <w:t>دیة الأصابع</w:t>
      </w:r>
      <w:bookmarkEnd w:id="131"/>
    </w:p>
    <w:p>
      <w:pPr>
        <w:pStyle w:val="BookText"/>
        <w:rPr/>
      </w:pPr>
      <w:r>
        <w:rPr>
          <w:rFonts w:ascii="IRNazanin" w:hAnsi="IRNazanin" w:eastAsia="IRNazanin"/>
          <w:color w:val="111111"/>
          <w:sz w:val="28"/>
          <w:sz w:val="28"/>
          <w:szCs w:val="28"/>
          <w:rtl w:val="true"/>
          <w:lang w:bidi="fa-IR"/>
        </w:rPr>
        <w:t>عن مروان أنّه أرسل إلی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تفتی فی الأصابع عشر عشر و قد بلغک عن عمر أنّه یفتی فی الإبهام بخمسة عشر أو ثلاثة عشر، و فی التی تلیها اثنتی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الوسطی بعشرة، و فی التی تلیها بتسع، و فی الخنصر بست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عمر، قولُ رسول اللّٰه صلی الله علیه و آله أحقّ أن یتّبع </w:t>
      </w:r>
      <w:bookmarkStart w:id="132" w:name="pg1276_10169"/>
    </w:p>
    <w:p>
      <w:pPr>
        <w:pStyle w:val="BookText"/>
        <w:rPr/>
      </w:pPr>
      <w:bookmarkEnd w:id="132"/>
      <w:r>
        <w:rPr>
          <w:rFonts w:ascii="IRNazanin" w:hAnsi="IRNazanin" w:eastAsia="IRNazanin"/>
          <w:color w:val="111111"/>
          <w:sz w:val="28"/>
          <w:sz w:val="28"/>
          <w:szCs w:val="28"/>
          <w:rtl w:val="true"/>
          <w:lang w:bidi="fa-IR"/>
        </w:rPr>
        <w:t xml:space="preserve">من قول عمر رضی الله عنه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قد أخرج عبد الرزاق، عن معمر و الثوری، عن أبی إسحاق، عن عاصم بن ضمرة،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الأصابع عشر عشر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جاء عن الصادق أنّ دیة الإصبع عشرة، 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سواء فی الدیة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قد خفی علی مروان حین اعتراضه علی ابن عبّاس رجوع عمر عن حکمه الأوّل؛ لما أخرجه عبد الرزاق عن معمر عن عبد اللّه بن عبد الرحمن الأنصاری، عن ابن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عمر بن الخطّاب فی الأصابع بقضاء، ثمّ أُخبر بکتابٍ کتبه النبی صلی الله علیه و آله لآل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إصبع ممّا هنالک عشر من الإبل، فأخذ به و ترک أمره الأول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3231809_373438147"/>
      <w:bookmarkStart w:id="134" w:name="_Toc49"/>
      <w:bookmarkEnd w:id="133"/>
      <w:r>
        <w:rPr/>
        <w:t>5</w:t>
      </w:r>
      <w:r>
        <w:rPr>
          <w:rtl w:val="true"/>
        </w:rPr>
        <w:t xml:space="preserve">- </w:t>
      </w:r>
      <w:r>
        <w:rPr>
          <w:rtl w:val="true"/>
        </w:rPr>
        <w:t>الجمع بین الصلاتین</w:t>
      </w:r>
      <w:bookmarkEnd w:id="13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مالک فی الموطأ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صلی الله علیه و آله الظهر و العصر جمیعاً و المغرب و العشاء جمیعاً من غیر خوف و لا سفر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135" w:name="pg1276_10170"/>
    </w:p>
    <w:p>
      <w:pPr>
        <w:pStyle w:val="BookText"/>
        <w:rPr/>
      </w:pPr>
      <w:bookmarkEnd w:id="135"/>
      <w:r>
        <w:rPr>
          <w:rFonts w:ascii="IRNazanin" w:hAnsi="IRNazanin" w:eastAsia="IRNazanin"/>
          <w:color w:val="111111"/>
          <w:sz w:val="28"/>
          <w:sz w:val="28"/>
          <w:szCs w:val="28"/>
          <w:rtl w:val="true"/>
          <w:lang w:bidi="fa-IR"/>
        </w:rPr>
        <w:t>و عن علی و أهل بیته نقلهم نفس الخبر عن رسول اللّٰه صلی الله علیه و آله، و بذلک فقد اتّفق فقه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حسنیّین کانوا أم حسینیّین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جواز الجمع بین الصلاتین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3231811_373438147"/>
      <w:bookmarkStart w:id="137" w:name="_Toc50"/>
      <w:bookmarkEnd w:id="136"/>
      <w:r>
        <w:rPr/>
        <w:t>6</w:t>
      </w:r>
      <w:r>
        <w:rPr>
          <w:rtl w:val="true"/>
        </w:rPr>
        <w:t xml:space="preserve">- </w:t>
      </w:r>
      <w:r>
        <w:rPr>
          <w:rtl w:val="true"/>
        </w:rPr>
        <w:t>عدم جواز تطیب المحرم</w:t>
      </w:r>
      <w:bookmarkEnd w:id="137"/>
    </w:p>
    <w:p>
      <w:pPr>
        <w:pStyle w:val="BookText"/>
        <w:rPr/>
      </w:pP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الصادق علیه السلام عن المحرم یموت کیف یصنع به، فحدّثنی أنّ عبد الرحمن بن علی مات بالأبواء مع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محرم، و مع الحسین علیه السلام عبد اللّه بن عبّاس و عبد اللّه بن جعفر، فصنع به کما صنع بالمیت و غطّی وجهه و لم یمسّه طیباً،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 کتاب علی </w:t>
      </w:r>
      <w:r>
        <w:rPr>
          <w:rStyle w:val="FootnoteAnchor"/>
          <w:rtl w:val="true"/>
        </w:rPr>
        <w:footnoteReference w:id="225"/>
      </w:r>
    </w:p>
    <w:p>
      <w:pPr>
        <w:pStyle w:val="Heading5"/>
        <w:numPr>
          <w:ilvl w:val="4"/>
          <w:numId w:val="1"/>
        </w:numPr>
        <w:rPr/>
      </w:pPr>
      <w:bookmarkStart w:id="138" w:name="__RefHeading___Toc3231813_373438147"/>
      <w:bookmarkStart w:id="139" w:name="_Toc51"/>
      <w:bookmarkEnd w:id="138"/>
      <w:r>
        <w:rPr/>
        <w:t>7</w:t>
      </w:r>
      <w:r>
        <w:rPr>
          <w:rtl w:val="true"/>
        </w:rPr>
        <w:t xml:space="preserve">- </w:t>
      </w:r>
      <w:r>
        <w:rPr>
          <w:rtl w:val="true"/>
        </w:rPr>
        <w:t>مسائل فی الارث</w:t>
      </w:r>
      <w:bookmarkEnd w:id="13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أدری أیّکم قدَّم اللّٰه و أیّکم أخّر، و ما أجد شیئاً هو </w:t>
      </w:r>
      <w:bookmarkStart w:id="140" w:name="pg1276_10171"/>
    </w:p>
    <w:p>
      <w:pPr>
        <w:pStyle w:val="BookText"/>
        <w:rPr/>
      </w:pPr>
      <w:bookmarkEnd w:id="140"/>
      <w:r>
        <w:rPr>
          <w:rFonts w:ascii="IRNazanin" w:hAnsi="IRNazanin" w:eastAsia="IRNazanin"/>
          <w:color w:val="111111"/>
          <w:sz w:val="28"/>
          <w:sz w:val="28"/>
          <w:szCs w:val="28"/>
          <w:rtl w:val="true"/>
          <w:lang w:bidi="fa-IR"/>
        </w:rPr>
        <w:t>أوسع من أن أقسم علیکم هذا المال بالحصص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أیم اللّٰه لو قدّمتم من قدّم اللّٰه و أخرتم من أخّر اللّٰه ما عالت الفریضة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أخرج الطحاوی، عن طریق إسماعیل بن أبی خالد،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أنّ علیّ بن أبی طالب کان یُنزل بنی الأخوة مع الجدّ منزلة آبائهم، و لم یکن أحد من الصحابة یفعله غیره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کتب إلیه أن اجعله کأحدهم و امح کتابی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فالنهج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یقض بما قضی به علی؛ لقول الراوی للباقر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للصادق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عندنا لا یقضون بهذا القضاء، و لا یجعلون لابن الأخ مع الجدّ شیئاً،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إملاء رسول اللّٰه صلی الله علیه و آله و خطّ علی مِنْ فِیهِ لیده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 کأنّ علیّاً کان قد أمر ابن عبّاس أن یتّقی من شیوع حکمه فی الجدّ فلذلک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امحُ کتابی و لا تخلّده</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3231815_373438147"/>
      <w:bookmarkStart w:id="142" w:name="_Toc52"/>
      <w:bookmarkEnd w:id="141"/>
      <w:r>
        <w:rPr/>
        <w:t>8</w:t>
      </w:r>
      <w:r>
        <w:rPr>
          <w:rtl w:val="true"/>
        </w:rPr>
        <w:t xml:space="preserve">- </w:t>
      </w:r>
      <w:r>
        <w:rPr>
          <w:rtl w:val="true"/>
        </w:rPr>
        <w:t>الحمل لستة اشهر</w:t>
      </w:r>
      <w:bookmarkEnd w:id="14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الأثرم باسناده عن أبی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رفع إلی عمر أنّ امرأة </w:t>
      </w:r>
    </w:p>
    <w:p>
      <w:pPr>
        <w:pStyle w:val="BookText"/>
        <w:rPr/>
      </w:pPr>
      <w:r>
        <w:rPr>
          <w:rFonts w:ascii="Amiri" w:hAnsi="Amiri" w:eastAsia="Amiri" w:cs="Amiri"/>
          <w:color w:val="111111"/>
          <w:sz w:val="28"/>
          <w:sz w:val="28"/>
          <w:szCs w:val="28"/>
          <w:rtl w:val="true"/>
          <w:lang w:bidi="ar-SA"/>
        </w:rPr>
        <w:t>ولدت لستة أشهر، فهمَّ عمر برجمها، فقال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ذلک،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أَوْلٰادَهُنَّ حَوْلَیْنِ کٰامِلَیْنِ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فحولان و ستة أشهر ثلاثون شهراً، لا رجم علیها، فخلی عمر سبیلها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عن نافع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لصاحب المرأة التی أُتی بها عمر وضعت لستة أشهر، فأنکر الناس ذلک، فقلت 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تظلم،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أَوْلٰادَهُنَّ حَوْلَیْنِ کٰامِلَیْنِ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الحول؟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السنة؟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فأربعة و عشرون حولان کاملان، و یؤخر اللّٰه من الحمل ما شاء و یقدم،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فاستراح عمر إلی قولی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 هو ابن عباس یوافق علیّاً علیه السلام فی النهج و الاستدلال و یحذو حذوه، و یقف بوجه من لم یستطع استنباط هذا الحکم الواضح من کتاب اللّٰه عز و جل</w:t>
      </w:r>
      <w:r>
        <w:rPr>
          <w:rFonts w:eastAsia="IRNazanin" w:cs="IRNazanin"/>
          <w:color w:val="111111"/>
          <w:sz w:val="28"/>
          <w:szCs w:val="28"/>
          <w:rtl w:val="true"/>
          <w:lang w:bidi="fa-IR"/>
        </w:rPr>
        <w:t xml:space="preserve">. </w:t>
      </w:r>
      <w:bookmarkStart w:id="143" w:name="pg1276_10173"/>
    </w:p>
    <w:p>
      <w:pPr>
        <w:pStyle w:val="BookText"/>
        <w:rPr/>
      </w:pPr>
      <w:bookmarkEnd w:id="143"/>
      <w:r>
        <w:rPr>
          <w:rFonts w:ascii="IRNazanin" w:hAnsi="IRNazanin" w:eastAsia="IRNazanin"/>
          <w:color w:val="111111"/>
          <w:sz w:val="28"/>
          <w:sz w:val="28"/>
          <w:szCs w:val="28"/>
          <w:rtl w:val="true"/>
          <w:lang w:bidi="fa-IR"/>
        </w:rPr>
        <w:t>کانت هذه مفردات عابرة عن فقه علی و ابن عبّاس نقلناها کشاهد علی وحدة الفقه عند الطالبیین، و لو شئنا لأفردنا مجلداً فی ذلک</w:t>
      </w:r>
      <w:r>
        <w:rPr>
          <w:rFonts w:eastAsia="IRNazanin" w:cs="IRNazanin"/>
          <w:color w:val="111111"/>
          <w:sz w:val="28"/>
          <w:szCs w:val="28"/>
          <w:rtl w:val="true"/>
          <w:lang w:bidi="fa-IR"/>
        </w:rPr>
        <w:t>.</w:t>
      </w:r>
    </w:p>
    <w:p>
      <w:pPr>
        <w:pStyle w:val="Heading4"/>
        <w:numPr>
          <w:ilvl w:val="3"/>
          <w:numId w:val="1"/>
        </w:numPr>
        <w:rPr/>
      </w:pPr>
      <w:bookmarkStart w:id="144" w:name="__RefHeading___Toc3231817_373438147"/>
      <w:bookmarkStart w:id="145" w:name="_Toc53"/>
      <w:bookmarkEnd w:id="144"/>
      <w:r>
        <w:rPr>
          <w:rtl w:val="true"/>
        </w:rPr>
        <w:t>مخالفة النهج الحاکم مع علی و ابن عبّاس</w:t>
      </w:r>
      <w:bookmarkEnd w:id="145"/>
    </w:p>
    <w:p>
      <w:pPr>
        <w:pStyle w:val="BookText"/>
        <w:rPr/>
      </w:pPr>
      <w:r>
        <w:rPr>
          <w:rFonts w:ascii="IRNazanin" w:hAnsi="IRNazanin" w:eastAsia="IRNazanin"/>
          <w:color w:val="111111"/>
          <w:sz w:val="28"/>
          <w:sz w:val="28"/>
          <w:szCs w:val="28"/>
          <w:rtl w:val="true"/>
          <w:lang w:bidi="fa-IR"/>
        </w:rPr>
        <w:t>نقلنا سابقاً موقف ابن عبّاس من الخلافة و مخالفته مع بعض رموزها، و هذا هو الذی دعا الخلفاء لاحقاً لتشدیدهم علی الناس بمخالفة فقه ابن عبّاس و علی بن أبی طالب، لأنّ المعروف عند المحققین أنّ النزاع بین بنی هاشم و بنی أمیّة لم یکن ولید یومه، إذ کان قبل الإسلام، ثمّ انتقل بعد الإسلام، و أنّ معاویة و أضرابه لم یُسْلِموا إلّا تحت صلیل السیوف و قرع الرماح، و أنّ رسول اللّٰه صلی الله علیه و آله لمّا فتح مکة أطلق سراحهم و عفا عنهم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اللّٰه و رسوله کانا قد خصّا بنی هاشم بخصائص، و ذلک لصمودهم و دفاعهم عن الدعوة الإسلامیة إبّان ظهورها، فجاء فی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وضع سهم ذی القربی فی بنی هاشم و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غزوة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فاعترض عثمان و جبیر بن مطعم علی حکم رسول اللّٰه صلی الله علیه و آله، فقال لهما صلی الله علیه و آله إنّا بنو هاشم و بنو عبد المطلب شی‌ء واحد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 یفارقونی فی جاهلیّة و لا إسلام، و إنّما نحن </w:t>
      </w:r>
    </w:p>
    <w:p>
      <w:pPr>
        <w:pStyle w:val="BookText"/>
        <w:rPr/>
      </w:pPr>
      <w:r>
        <w:rPr>
          <w:rFonts w:ascii="IRNazanin" w:hAnsi="IRNazanin" w:eastAsia="IRNazanin"/>
          <w:color w:val="111111"/>
          <w:sz w:val="28"/>
          <w:sz w:val="28"/>
          <w:szCs w:val="28"/>
          <w:rtl w:val="true"/>
          <w:lang w:bidi="fa-IR"/>
        </w:rPr>
        <w:t xml:space="preserve">و هم شی‌ء واحد، و شبّک بین أصابعه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فالأمویون لم یذعنوا لِقرار اللّٰه و رسوله فی ذی القربی، و اعترضوا علی هذا الحکم الإلهی، و هم یضمرون العداء لبنی هاشم و خصوصاً لعلی؛ لأنّه الرجل الأوّل المنصوب للخلافة، و هو الذی قتل صنادید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النمط منهم هو الذی رفض خلافة علی بن أبی طالب بعد عثمان، ثمّ حاربه بدعوی المطالبة بدم عثمان، و لمّا استقرّ الأمر لمعاویة سَنّ لَعْنَ علیّ علی المنابر و دُبُرَ کل صلاة </w:t>
      </w:r>
      <w:r>
        <w:rPr>
          <w:rStyle w:val="FootnoteAnchor"/>
          <w:rtl w:val="true"/>
        </w:rPr>
        <w:footnoteReference w:id="234"/>
      </w:r>
      <w:r>
        <w:rPr>
          <w:rFonts w:ascii="IRNazanin" w:hAnsi="IRNazanin" w:eastAsia="IRNazanin"/>
          <w:color w:val="111111"/>
          <w:sz w:val="28"/>
          <w:sz w:val="28"/>
          <w:szCs w:val="28"/>
          <w:rtl w:val="true"/>
          <w:lang w:bidi="fa-IR"/>
        </w:rPr>
        <w:t xml:space="preserve">، حتی قیل بأنّ مجالس الوعّاظ بالشام کانت تختم بشتم علی </w:t>
      </w:r>
      <w:r>
        <w:rPr>
          <w:rStyle w:val="FootnoteAnchor"/>
          <w:rtl w:val="true"/>
        </w:rPr>
        <w:footnoteReference w:id="235"/>
      </w:r>
      <w:r>
        <w:rPr>
          <w:rFonts w:ascii="IRNazanin" w:hAnsi="IRNazanin" w:eastAsia="IRNazanin"/>
          <w:color w:val="111111"/>
          <w:sz w:val="28"/>
          <w:sz w:val="28"/>
          <w:szCs w:val="28"/>
          <w:rtl w:val="true"/>
          <w:lang w:bidi="fa-IR"/>
        </w:rPr>
        <w:t xml:space="preserve">، و أنّ معاویة کان قد أمر أعوانه بمحو أسماء شیعة علی من الدیوان </w:t>
      </w:r>
      <w:r>
        <w:rPr>
          <w:rStyle w:val="FootnoteAnchor"/>
          <w:rtl w:val="true"/>
        </w:rPr>
        <w:footnoteReference w:id="236"/>
      </w:r>
      <w:r>
        <w:rPr>
          <w:rFonts w:ascii="IRNazanin" w:hAnsi="IRNazanin" w:eastAsia="IRNazanin"/>
          <w:color w:val="111111"/>
          <w:sz w:val="28"/>
          <w:sz w:val="28"/>
          <w:szCs w:val="28"/>
          <w:rtl w:val="true"/>
          <w:lang w:bidi="fa-IR"/>
        </w:rPr>
        <w:t>، و أصدر مراسیم حکومیة بأن لا تقبل شهادة لأحد من شیعة علی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ابن عبّاس غیر مستثنی من هذه القاعدة، حیث أسقط معاویةُ عطاءَه عند تسلّطه علی المسلمین، و کان یلعنه فی القنوت بعد علی بن أبی طالب بعد حادثة الحکمین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بسطنا القول عن اتجاهی الرأی و التعبد علی عهد رسول اللّٰه فی بحوث متعدّدة لنا، و قلنا أنّ عامّة القرشیین کانوا من أهل الرأی، و أنّ ابن عبّاس و علیّاً و من تابعهما کانوا من أهل التعبد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فجاء عن ابن عبّاس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أحدٌ إلّا یؤخذُ من قوله و یدع غیرَ النبی صلی الله علیه و آله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یقل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یقل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النبیّ صلی الله علیه و آله نهی عن النقیر و المزفّت و الدباء و الحنتم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قوله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تنتهوا عما نهاکم عنه رسول اللّٰه صلی الله علیه و آله؟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قد ثبت عنه رحمه اللّٰه أنه کان یصحح المفاهیم الخاطئة التی وقع فیها الناس، فعن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قومک أنّ رسول اللّٰه صلی الله علیه و آله رَمَل بالبیت، و أنّ ذلک سنة؟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و کذبوا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صدقوا و کذبوا؟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رَمَل رسول اللّٰه صلی الله علیه و آله بالبیت، و کذبوا لیس بسنّة، إنّ قریشاً قالت زمن الحدیبیة، دعوا محمداً و أصحابه حتّی یموتوا موتَ </w:t>
      </w:r>
    </w:p>
    <w:p>
      <w:pPr>
        <w:pStyle w:val="BookText"/>
        <w:rPr/>
      </w:pPr>
      <w:r>
        <w:rPr>
          <w:rFonts w:ascii="IRNazanin" w:hAnsi="IRNazanin" w:eastAsia="IRNazanin"/>
          <w:color w:val="111111"/>
          <w:sz w:val="28"/>
          <w:sz w:val="28"/>
          <w:szCs w:val="28"/>
          <w:rtl w:val="true"/>
          <w:lang w:bidi="fa-IR"/>
        </w:rPr>
        <w:t xml:space="preserve">النغف </w:t>
      </w:r>
      <w:r>
        <w:rPr>
          <w:rStyle w:val="FootnoteAnchor"/>
          <w:rtl w:val="true"/>
        </w:rPr>
        <w:footnoteReference w:id="240"/>
      </w:r>
      <w:r>
        <w:rPr>
          <w:rFonts w:ascii="IRNazanin" w:hAnsi="IRNazanin" w:eastAsia="IRNazanin"/>
          <w:color w:val="111111"/>
          <w:sz w:val="28"/>
          <w:sz w:val="28"/>
          <w:szCs w:val="28"/>
          <w:rtl w:val="true"/>
          <w:lang w:bidi="fa-IR"/>
        </w:rPr>
        <w:t>، فلما صالحوه علی أن یقدموا من العام المقبل و یقیموا بمکة ثلاثة أیام، فقدم رسول اللّٰه، و المشرکون من قبل قعیقعان، فقال رسول اللّٰه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ارملوا بالبیت ثلاثاً، و لیس بسنّة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یزعم قومک أنّه طاف بین الصفا و المروة علی بعیر، و أنّ ذلک سنة؟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و کذبوا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صدقوا و کذبوا؟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قد طاف بین الصفا و المروة علی بعیر، و کذبوا لیست بسنّة، کان الناس لا یُدْفَعون عن رسول اللّٰه و لا یُصْدَفُون عنه فطاف علی بعیر، لیسمعوا کلامه و لا تناله أیدیهم …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جاء رجل إلی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مولاک إذا سجد وضع جبهته و ذراعیه و صدره بالأرض،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تصنع؟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ربضة الکلب، رأیت النبی صلی الله علیه و آله إذا سجد رُؤی بیاض إبطیه</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فنهج الخلفاء کان یخالف ابن عبّاس، لتعبده و لمواقفه السیاسیة المؤیدة للإمام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مدرسة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إبعاد الإمام علی عن الخلافة و الفقه، ثمّ تحکیم خلافتهم و إعطاءها الشرعیة، و بما أنّ نهج علیّ و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یروقهم، لذلک نراهم راحوا یلقون علیه ظلالًا دکناء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رسول اللّٰه صلی الله علیه و آله قد أخبر علیاً بما تصنع الأمّة به و بالأحکام الشرعیة من بعده</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فعن أبی عثمان النهدی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علیّ یحدّثنا،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جذبنی رسول اللّٰه صلی الله علیه و آله و 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فی صدور قوم لن یبدوها لک إلّا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بسلامة من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بسلامة من دینک</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من هذا المنطلق أخذ أجلّة الصحابة یعترضون علی معاویة و الخلفاء من بعده لتلاعبهم بالدین و اتّخاذهم الشریعة سلّماً لأهدافهم، باکین علی الإسلام و أمور المسلمین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صح عن أبی سعید الخدری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مروان و هو أمیر المدینة فی أضحی أو فطر، فلما أتینا المصلّی إذا منبر بناه کثیر بن الصلت؛ </w:t>
      </w:r>
    </w:p>
    <w:p>
      <w:pPr>
        <w:pStyle w:val="BookText"/>
        <w:rPr/>
      </w:pPr>
      <w:r>
        <w:rPr>
          <w:rFonts w:ascii="IRNazanin" w:hAnsi="IRNazanin" w:eastAsia="IRNazanin"/>
          <w:color w:val="111111"/>
          <w:sz w:val="28"/>
          <w:sz w:val="28"/>
          <w:szCs w:val="28"/>
          <w:rtl w:val="true"/>
          <w:lang w:bidi="fa-IR"/>
        </w:rPr>
        <w:t>فإذا مروان یرید أن یرتقیه قبل أن یصلّی، فجذبت بثوبه فجذبنی فارتفع فخطب قبل الصلاة،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سعید قد ذهب ما تعلم،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و اللّٰه خیر مما 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لم یکونوا یجلسون لنا بعد الصّلاة فجعلتها قبل الصّلاة</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روی الزهری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أنس بن مالک بدمشق و هو 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شیئاً مما أدرکتُ إلّا هذه الصلاة، و هذه الصلاة قد ضُیّعت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أخرج البخاری عن غیلان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شیئاً مما کان علی عهد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ضیّعتم ما ضیّعتم فیها؟</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أخرج البخاری،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سالماً،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الدرداء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أبو الدرداء و هو مغضب،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أغضبک؟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أعرف من أمّة محمّد إلّا أنّهم یصلّون جمیعاً</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مع القوم و اجعلها سبحة </w:t>
      </w:r>
      <w:r>
        <w:rPr>
          <w:rStyle w:val="FootnoteAnchor"/>
          <w:rtl w:val="true"/>
        </w:rPr>
        <w:footnoteReference w:id="249"/>
      </w:r>
      <w:r>
        <w:rPr>
          <w:rFonts w:ascii="IRNazanin" w:hAnsi="IRNazanin" w:eastAsia="IRNazanin"/>
          <w:color w:val="111111"/>
          <w:sz w:val="28"/>
          <w:sz w:val="28"/>
          <w:szCs w:val="28"/>
          <w:rtl w:val="true"/>
          <w:lang w:bidi="fa-IR"/>
        </w:rPr>
        <w:t xml:space="preserve">، إلی غیر </w:t>
      </w:r>
    </w:p>
    <w:p>
      <w:pPr>
        <w:pStyle w:val="BookText"/>
        <w:rPr/>
      </w:pPr>
      <w:r>
        <w:rPr>
          <w:rFonts w:ascii="IRNazanin" w:hAnsi="IRNazanin" w:eastAsia="IRNazanin"/>
          <w:color w:val="111111"/>
          <w:sz w:val="28"/>
          <w:sz w:val="28"/>
          <w:szCs w:val="28"/>
          <w:rtl w:val="true"/>
          <w:lang w:bidi="fa-IR"/>
        </w:rPr>
        <w:t>ذلک من أقوال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کلّ هذه الاعتراضات الداعیة إلی إحیاء کتاب اللّٰه و سنة رسول اللّٰه صلی الله علیه و آله نری أنّ البعض من الصحابة قد أیّد موقف الأمویین تصریحاً أو تلویحاً و أکّد علی لزوم متابعة أمرائهم قولًا و فعلًا حتّی لو خالف القرآن و السّنّة؛ لأنّ ذلک بزعمهم هو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اللّه بن عمر عن الإیلاء؟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ترید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 قال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نرضی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ذلک أُولو الأمر، بل یقول فی ذلک اللّٰه و رسوله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عن ابن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جاء الشی‌ء فی القضاء و لیس فی الکتاب و لا فی السّنّة فیدفع إلی الأمراء فیجمع أهل العلم، فإذا اجتمع علیه رأیهم فهو الحق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عن ابن عمر قوله لما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نسأل بعدکم؟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لمروان ابناً فقیهاً فسلوه </w:t>
      </w:r>
      <w:r>
        <w:rPr>
          <w:rStyle w:val="FootnoteAnchor"/>
          <w:rtl w:val="true"/>
        </w:rPr>
        <w:footnoteReference w:id="25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جریر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نافعاً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المدینة و ما </w:t>
      </w:r>
    </w:p>
    <w:p>
      <w:pPr>
        <w:pStyle w:val="BookText"/>
        <w:rPr/>
      </w:pPr>
      <w:r>
        <w:rPr>
          <w:rFonts w:ascii="IRNazanin" w:hAnsi="IRNazanin" w:eastAsia="IRNazanin"/>
          <w:color w:val="111111"/>
          <w:sz w:val="28"/>
          <w:sz w:val="28"/>
          <w:szCs w:val="28"/>
          <w:rtl w:val="true"/>
          <w:lang w:bidi="fa-IR"/>
        </w:rPr>
        <w:t xml:space="preserve">بها أشد تشمیراً و لا أفقه و لا أقرأ لکتاب اللّٰه من عبد الملک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فتری ابن عمر یرشد النّاس إلی الأخذ بقول عبد الملک بن مروان، الذی بنی القبّة فوق الصخرة و الجامع الأقصی و جعلها بمثابة الکعبة یطوفون حولها و ینحرون یوم العید و یحلّقون رءوسهم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بعد أن صاح الناس به، حینما منع من حجّ بیت اللّٰه الحرام، لأنّ ابن الزبیر کان یأخذ البیعة لنفسه منهم</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برأسه هکذا، قلنا بسیفنا هکذا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الداعی إلی الأخذ بفقه عثمان بن عفّان بقوله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فالزموا ما فی مصحفکم الذی حملکم علیه الإمام المظلوم، و علیکم بالفرائض التی جمعکم علیها إمامکم المظلوم رحمه اللّٰه؛ فإنّه قد استشار فی ذلک زید بن ثابت، و نِعْمَ المشیرُ کان للإسلام رحمه اللّٰه، فاحکما ما أحکما و استقصیا ما شذّ عنهما</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المنطلق کان عمر بن عبد العزیز یرکّز علی الأخذ بأقوال الشیخین و ترک أقوال علی و ابن عبّاس و غیرهما ممن ینتهج نهج التّعبد، حیث 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 ما سنَّ رسول اللّٰه صلی الله علیه و آله و صاحباه فهو دین </w:t>
      </w:r>
    </w:p>
    <w:p>
      <w:pPr>
        <w:pStyle w:val="BookText"/>
        <w:rPr/>
      </w:pPr>
      <w:r>
        <w:rPr>
          <w:rFonts w:ascii="IRNazanin" w:hAnsi="IRNazanin" w:eastAsia="IRNazanin"/>
          <w:color w:val="111111"/>
          <w:sz w:val="28"/>
          <w:sz w:val="28"/>
          <w:szCs w:val="28"/>
          <w:rtl w:val="true"/>
          <w:lang w:bidi="fa-IR"/>
        </w:rPr>
        <w:t>نأخذ به و ننتهی إلیه، و ما سنّ سواهما فإنّا نرجئه</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هذا، و لم یکن العباسیون أقلّ وطأة علی فقه علی و ابن عبّاس من الأمویین، فعن المنصور العباسی أنّه طلب من الإمام مالک أن یکتب له الموطأ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ضع هذا العلم و دوّنه و تجنّب فیه شواذّ عبد اللّه بن مسعود، و رُخص ابن عبّاس، و شدائد ابن عمر، و اقصد إلی أوسط الأمور، و ما اجتمع علیه الأئمة و الأصحاب، لنحمل الناس إن شاء اللّٰه علی علمک و کتبک و نبثّها فی الأمصار، و نعهد إلیهم ألّا یخالفوها و لا یقضوا بسواها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فی آخر قول مالک للمنصور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رسول اللّٰه صلی الله علیه و آله تفرّقوا فی البلاد، فأفتی کلٌّ فی مصره بما رأی، و إنّ لأهل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 لأهل المدینة قولًا، و لأهل العراق قولًا تعدّوا فیه طورهم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أهل العراق فلا أقبل منهم صرفاً و لا عدلًا، و أمّا العلم عند أهل المدینة، فضع للناس العلم </w:t>
      </w:r>
      <w:r>
        <w:rPr>
          <w:rStyle w:val="FootnoteAnchor"/>
          <w:rtl w:val="true"/>
        </w:rPr>
        <w:footnoteReference w:id="25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 قال المنصور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أراک تعتمد علی قول ابن عمر دون أصحاب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إنّه آخر من بقی عندنا من أصحاب رسول اللّٰه صلی الله علیه و آله، فاحتاج الناس إلیه، فسألوه </w:t>
      </w:r>
    </w:p>
    <w:p>
      <w:pPr>
        <w:pStyle w:val="BookText"/>
        <w:rPr/>
      </w:pPr>
      <w:r>
        <w:rPr>
          <w:rFonts w:ascii="IRNazanin" w:hAnsi="IRNazanin" w:eastAsia="IRNazanin"/>
          <w:color w:val="111111"/>
          <w:sz w:val="28"/>
          <w:sz w:val="28"/>
          <w:szCs w:val="28"/>
          <w:rtl w:val="true"/>
          <w:lang w:bidi="fa-IR"/>
        </w:rPr>
        <w:t>و تمسّکوا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مالک، علیک بما تعرف إنّه الحق عندک، و لا تقلّدنَّ علیّاً و ابن عبّاس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فی آخر 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أخذت بأحادیث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بقوله و إن خالف علیاً و ابن عبّاس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فترجیح رأی ابن عمر مع وجود کثیر من الصحابة کان من سیاسة الدولة العبّاسیة، و مثله الحال بالنسبة إلی الأخذ بموطّإ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السیاسة هی الّتی سمحت للنّاس بالاعتراض علی ابن عبّاس و عدم الأخذ بقوله، فجاء فی جامع المسانید و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سألوا ابن عبّاس عن امرأة طافت ثمّ حاضت؟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نأخذ بقولک و ندع قول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قدمتم المدینة فاسألوا، فقدموا المدینة فسألوا، فکان فیمن سألوا أمَّ سلیم، فذکرت حدیث صفیة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کان زید قد سال ابن عبّاس عن ذلک، إذ أخرج أحمد فی مسنده عن طاوس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ابن عبّاس إذ قال له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تفتی أن تصدر الحائض قبل أن یکون آخر عهدها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تُفْتِ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 فسل فلانة الأنصاریة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أمرها </w:t>
      </w:r>
    </w:p>
    <w:p>
      <w:pPr>
        <w:pStyle w:val="BookText"/>
        <w:rPr/>
      </w:pPr>
      <w:r>
        <w:rPr>
          <w:rFonts w:ascii="IRNazanin" w:hAnsi="IRNazanin" w:eastAsia="IRNazanin"/>
          <w:color w:val="111111"/>
          <w:sz w:val="28"/>
          <w:sz w:val="28"/>
          <w:szCs w:val="28"/>
          <w:rtl w:val="true"/>
          <w:lang w:bidi="fa-IR"/>
        </w:rPr>
        <w:t>بذلک النبی صلی الله علیه و آله فرجع الیه زید بن ثابت یضحک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أراک إلّا قد صدقت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قد کتب زید إلی ابن عباس فی ذلک، و فیه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وجدتُ الذی قُلتَ کما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لَأَعلمُ قولَ رسول اللّٰه صلی الله علیه و آله للنساء، و لکنّی أحببت أن أقول بما فی کتاب اللّٰه،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لْیَقْضُوا تَفَثَهُمْ وَ لْیُوفُوا نُذُورَهُمْ وَ لْیَطَّوَّفُوا بِالْبَیْتِ الْعَتِیقِ</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فقد قضت التَّفَث، و وفَّت النَّذر، و طافت بالبیتِ، فما بَقِیَ؟</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فابن عباس استدل لهم بالقرآن المجید، مع أنه کان یعلم هذا الحکم من رسول اللّٰه صلی الله علیه و آله، و مع ذلک ظلّوا یماطلون فی الأخذ عنه، و لم ینصاعوا له إلّا بعد اللّتَیّا و الّتی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ولیت من خالف ابن عبّاس من الصّحابة لا یدّعی أنّ ما عنده من قول أو فعل هو الصواب، مشعراً بأنّ ذلک عن اللّٰه و رسوله، و ملوّحاً إلی أنّ ما عند ابن عبّاس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یحکی إلّا عن اللّٰه و الرّسول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فإنّهم لو لم یفعلوا ذلک لَمَا ضاع ما ضاع من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صح عن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رُخِّص للحائض أن تنفر إذا أفاضت،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ابن عمر یقول أنّها </w:t>
      </w:r>
    </w:p>
    <w:p>
      <w:pPr>
        <w:pStyle w:val="BookText"/>
        <w:rPr/>
      </w:pPr>
      <w:r>
        <w:rPr>
          <w:rFonts w:ascii="Amiri" w:hAnsi="Amiri" w:eastAsia="Amiri" w:cs="Amiri"/>
          <w:color w:val="111111"/>
          <w:sz w:val="28"/>
          <w:sz w:val="28"/>
          <w:szCs w:val="28"/>
          <w:rtl w:val="true"/>
          <w:lang w:bidi="ar-SA"/>
        </w:rPr>
        <w:t>لا تنفر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سمعتهُ یقول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رخَّص لهنّ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فلما ذا وصل الأمر بالناس إلی هذا؛ و إنّی أترک القارئ لیحکم فیما ادعیناه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الأسبذیین من أهل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مجوس أهل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رسول اللّٰه صلی الله علیه و آله، فمکث عنده ثمّ خرج،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قضی اللّٰه و رسوله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أو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منهم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النّاس بقول عبد الرحمن بن عوف و ترکوا ما سمعتُ أنا من الأسبذی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هذا و قد یمکننا عزو سبب إرجاع العباسیین النّاس إلی الأخذ بقول مالک، هو اعتقاد مالک بکون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بعدهما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الخلفاء الرّاشدین، و أنّ علیّاً لیس رابعاً لهم، إذ جاء فی البدایة و النهایة لابن کثیر أنّ مالک بن أنس دخل علی المنصور العبّاسی، فسأله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أفضل الناس بعد رسول اللّٰه صلی الله علیه و آله؟</w:t>
      </w:r>
    </w:p>
    <w:p>
      <w:pPr>
        <w:pStyle w:val="BookText"/>
        <w:rPr/>
      </w:pPr>
      <w:r>
        <w:rPr>
          <w:rFonts w:ascii="IRNazanin" w:hAnsi="IRNazanin" w:eastAsia="IRNazanin"/>
          <w:color w:val="111111"/>
          <w:sz w:val="28"/>
          <w:sz w:val="28"/>
          <w:szCs w:val="28"/>
          <w:rtl w:val="true"/>
          <w:lang w:bidi="fa-IR"/>
        </w:rPr>
        <w:t>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الخلفاء العباسیین من أئمّة المذاهب الأربعة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فإذا تأمّلنا آراء مالک فیما یتعلّق بقضیة التفضیل بین الخلفاء الرّاشدین، نجد الإمام ینفرد عن غیره، فهو یری أنّهم ثلاثة لا أربعة، و هو یجعل خلافة الراشدین فی أبی بکر و عمر و عثمان، و یجعلهم فی مرتبة دونها سائر الناس، و أمّا علیٌّ فإنه فی نظره واحد من جملة الصحابة، لا یزید عنهم بشی‌ء</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هذا یعرفنا أنّ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أمویّین کانوا أم 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یشترکون فی نقطة واحدة و هی حمایتهم لفقه الشیخین، و ترک فقه علیّ بن أبی طالب و ابن عبّاس، أی أخذهم بسیرة الشیخین و إن خالفت السنة النبویة، و بمعنی آخر أخذهم باجتهاداتهم المقابلة للنص بجنب مرویّاتهم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اتضحت لک آفاق السیاسة الحاکمة فی لزوم الأخذ بفقه ابن عمر و إن خالف علیاً و ابن عبّاس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ابن عمر و إن خالف أباه فی مفردات فقهیة کثیرة، و دعا إلی سنّة رسول اللّٰه صلی الله علیه و آله و ترک کلام أبیه المخالف لسنة رسول اللّٰه، لکنّه فی الوقت نفسه کان قد دافع عن خلافة معاویة و یزید و بقیة الخلفاء الأمویّین، و سَنَّ أصولًا کان لهم الاستفادة منها کقاعدة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اتّباع الحاکم و إن ضرب ظهرک و أَخَذَ مَالَکَ و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فالنهج الحاکم کما کان یرید تشریع ما سنّه الشیخان و إبعاد من عارضهم فی اجتهاداتهم، کان یتخوّف ممن لا یتّفق معهم فی أصول الخلافة و الإمامة أیضاً، و أمّا الذین یذهبون إلی ما یذهب إلیه الخلفاء فلا مانع من </w:t>
      </w:r>
    </w:p>
    <w:p>
      <w:pPr>
        <w:pStyle w:val="BookText"/>
        <w:rPr/>
      </w:pPr>
      <w:r>
        <w:rPr>
          <w:rFonts w:ascii="IRNazanin" w:hAnsi="IRNazanin" w:eastAsia="IRNazanin"/>
          <w:color w:val="111111"/>
          <w:sz w:val="28"/>
          <w:sz w:val="28"/>
          <w:szCs w:val="28"/>
          <w:rtl w:val="true"/>
          <w:lang w:bidi="fa-IR"/>
        </w:rPr>
        <w:t>نقل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یخدمهم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لما رأوا فی ابن عمر من مؤهلات یمکن 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بالنسبة إلی خصوص الخلافة العباسیة، فقد دعت إلی الأخذ بفقه ابن عمر مع أنّه کان مدافعاً عن الأمویّین فی السابق، و ذلک لوحدة النهج و الفکر بینهم، و إن کان إثبات هذا المدعی یحتاج إلی مزید بیان لیس هنا محل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هذه مؤشّرات صریحة وضّحت لنا بأنّ التشریع قد امتزج بالسیاسة بعد رسول اللّٰه صلی الله علیه و آله، و أخذ طابعاً خاصّاً، و أنّ الملک و السلطان کان له أعظم التأثیر فی ترسیخ بعض المفاهیم و الأفکار الشائعة الیوم، ثمّ اشتداد هذا الأمر فی العصور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طالع الباحث فی سیرة الحجّاج بن یوسف الثقفی مثلًا لعرف اتجاه الحجّاج فی ترسیخ فقه الأمویین و مذهب الخلیفة، و هو یؤکّد دور السیاسة فی الفقه، إذ جاء عنه أنه أرسل إلی الشعبی لیسأله عن الفریضة فی الأخت و أمّ الجد؟</w:t>
      </w:r>
    </w:p>
    <w:p>
      <w:pPr>
        <w:pStyle w:val="BookText"/>
        <w:rPr/>
      </w:pPr>
      <w:r>
        <w:rPr>
          <w:rFonts w:ascii="IRNazanin" w:hAnsi="IRNazanin" w:eastAsia="IRNazanin"/>
          <w:color w:val="111111"/>
          <w:sz w:val="28"/>
          <w:sz w:val="28"/>
          <w:szCs w:val="28"/>
          <w:rtl w:val="true"/>
          <w:lang w:bidi="fa-IR"/>
        </w:rPr>
        <w:t>فأجابه الشعبی باختلاف خمسة من أصحاب الرسول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زید، ابن مسعود، علی، ابن عبّاس، ثمّ بدأ یشرح کلام ابن عبّاس،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 فیها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فذکر له رأی عثمان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القاضی فلیمضها علی ما أمضاها علیه أمیر </w:t>
      </w:r>
    </w:p>
    <w:p>
      <w:pPr>
        <w:pStyle w:val="BookText"/>
        <w:rPr/>
      </w:pPr>
      <w:r>
        <w:rPr>
          <w:rFonts w:ascii="IRNazanin" w:hAnsi="IRNazanin" w:eastAsia="IRNazanin"/>
          <w:color w:val="111111"/>
          <w:sz w:val="28"/>
          <w:sz w:val="28"/>
          <w:szCs w:val="28"/>
          <w:rtl w:val="true"/>
          <w:lang w:bidi="fa-IR"/>
        </w:rPr>
        <w:t xml:space="preserve">المؤمنین عثمان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 مثل هذا الموقف جاء عن الحجّاج فی الوضوء، فقد خطب فی الأهواز و أمر الناس بغسل الرجلین </w:t>
      </w:r>
      <w:r>
        <w:rPr>
          <w:rStyle w:val="FootnoteAnchor"/>
          <w:rtl w:val="true"/>
        </w:rPr>
        <w:footnoteReference w:id="270"/>
      </w:r>
      <w:r>
        <w:rPr>
          <w:rFonts w:ascii="Amiri" w:hAnsi="Amiri" w:eastAsia="Amiri" w:cs="Amiri"/>
          <w:color w:val="111111"/>
          <w:sz w:val="28"/>
          <w:sz w:val="28"/>
          <w:szCs w:val="28"/>
          <w:rtl w:val="true"/>
          <w:lang w:bidi="ar-SA"/>
        </w:rPr>
        <w:t>، و لمّا سمع بذلک أنس بن مالک اعترض علیه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کذب الحجّاج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 وَ أَرْجُلَکُمْ</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بعد هذا یحق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بکاء أنس بن مالک جاء لتلاعب أمثال الحجّاج بالصلاة و الوضوء و …</w:t>
      </w:r>
    </w:p>
    <w:p>
      <w:pPr>
        <w:pStyle w:val="BookText"/>
        <w:rPr/>
      </w:pPr>
      <w:r>
        <w:rPr>
          <w:rFonts w:ascii="IRNazanin" w:hAnsi="IRNazanin" w:eastAsia="IRNazanin"/>
          <w:color w:val="111111"/>
          <w:sz w:val="28"/>
          <w:sz w:val="28"/>
          <w:szCs w:val="28"/>
          <w:rtl w:val="true"/>
          <w:lang w:bidi="fa-IR"/>
        </w:rPr>
        <w:t>هذا، و یمکننا الإشارة إلی حقیقة أخری قد تکون خافیة علی البعض،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نهج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یرتضی الأخذ بفقه علی و ابن عبّاس، فنتساءل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هذا و کان فقه علی بن أبی طالب و ابن عبّاس منهیّاً عنه، فکیف نقل عنهما مالک فی موطَّئه؟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اللّب السلیم یحکم بأنّ ما نقله مالک صِیغَ لیکونَ موافقاً لفقه الخلفاء؛ إذ لم ینقل مالک الوجه الحقیقی لما یلتزمه علی و ابن عبّاس من الشرع، و ذلک یعنی أنّ غالب ما نهت عنه الحکومة هو الفقه المستقل،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فقه التعبد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ما أرید له أن یکون موافقاً للفقه الاجتهادی السلطوی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فإنّ مالکاً لم یکن لیجسر علی تخطّی أمرَ المنصور بعدم الأخذ عن علی و ابن 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هکذا الحال بالنسبة إلی أمّهات المسانید و الصحاح الّتی أرید لها أن تکون کما هی علیه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لِمَ یُهتَمُّ و یُعتنیٰ بما یُروی عن ابن عبّاس و أمثاله ممّا یؤیّد مدرسة الاجتهاد و الرأی، و لا یلتفت و یتأمّل فی المنقول الثابت عن علی و ابن عبّاس فی هذه الأمّهات من المسانید و 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ذا لا یذکر مالک القولَ الآخر عن علی و ابن عبّاس و الموافق لمدرسة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یعنی هذا أنّ الخلافة ترید نقل الفقه المنسوب إلی علی و ابن عبّاس الموافق لفقه الشیخین و ما یؤیّد مذهبَ الخلفاء، و ترک الفقه الصحیح الثابت عنهما المخالف لنهج الخلافة؟</w:t>
      </w:r>
    </w:p>
    <w:p>
      <w:pPr>
        <w:pStyle w:val="BookText"/>
        <w:rPr/>
      </w:pPr>
      <w:r>
        <w:rPr>
          <w:rFonts w:ascii="IRNazanin" w:hAnsi="IRNazanin" w:eastAsia="IRNazanin"/>
          <w:color w:val="111111"/>
          <w:sz w:val="28"/>
          <w:sz w:val="28"/>
          <w:szCs w:val="28"/>
          <w:rtl w:val="true"/>
          <w:lang w:bidi="fa-IR"/>
        </w:rPr>
        <w:t>و کیف یمکنک ترجیح إحدی النسبتین إلی علی و ابن عبّاس، مع کلّ هذه الملابسات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حقاً أنّهما نهیا عن المتعة أم سمحا بها؟</w:t>
      </w:r>
    </w:p>
    <w:p>
      <w:pPr>
        <w:pStyle w:val="BookText"/>
        <w:rPr/>
      </w:pPr>
      <w:r>
        <w:rPr>
          <w:rFonts w:ascii="IRNazanin" w:hAnsi="IRNazanin" w:eastAsia="IRNazanin"/>
          <w:color w:val="111111"/>
          <w:sz w:val="28"/>
          <w:sz w:val="28"/>
          <w:szCs w:val="28"/>
          <w:rtl w:val="true"/>
          <w:lang w:bidi="fa-IR"/>
        </w:rPr>
        <w:t>و ما الّذی یصحّ عنهما فی المسح علی الخفین؟ هل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للمقیم یوم و للمسافر ثلاث، أم أنّهما نَهَیا عن المسح علی الخفین عموماً؟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المحفوظ عن علی و ابن عبّاس فی کتب الصحاح و السنن و الفقه و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المسح فی الوضوء أم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کان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حریصاً لهذا الحدّ علی بیان الوضوء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ذا یدعو الناس للوضوء العثمانی الغسلی بالذات؟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بم یمکننا ترجیح إحدی النسبتین إلی أمثال هؤلاء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التکافؤ الإسنادی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عرفنا ملابسات الأحکام؟</w:t>
      </w:r>
    </w:p>
    <w:p>
      <w:pPr>
        <w:pStyle w:val="BookText"/>
        <w:rPr/>
      </w:pPr>
      <w:r>
        <w:rPr>
          <w:rFonts w:ascii="IRNazanin" w:hAnsi="IRNazanin" w:eastAsia="IRNazanin"/>
          <w:color w:val="111111"/>
          <w:sz w:val="28"/>
          <w:sz w:val="28"/>
          <w:szCs w:val="28"/>
          <w:rtl w:val="true"/>
          <w:lang w:bidi="fa-IR"/>
        </w:rPr>
        <w:t>و لما ذا نری وجود ما یوافق الخلفاء فقط فی الموطّأ و غیره، و عدم وجود النقل الآخر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وجوده و طرحه بشتی التقوّلات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یعنی هذا؟</w:t>
      </w:r>
    </w:p>
    <w:p>
      <w:pPr>
        <w:pStyle w:val="BookText"/>
        <w:rPr/>
      </w:pPr>
      <w:r>
        <w:rPr>
          <w:rFonts w:ascii="IRNazanin" w:hAnsi="IRNazanin" w:eastAsia="IRNazanin"/>
          <w:color w:val="111111"/>
          <w:sz w:val="28"/>
          <w:sz w:val="28"/>
          <w:szCs w:val="28"/>
          <w:rtl w:val="true"/>
          <w:lang w:bidi="fa-IR"/>
        </w:rPr>
        <w:t>کل هذه التساؤلات و الملابسات تشکّکنا فی صحّة نسبة النقل الحکومی عن علی و ابن عبّاس و من شابههما، و خصوصاً حینما عرفنا أنّ أئمّة نهج الاجتهاد و الرأی لا یستسیغون المرویّ بواسطة أصحاب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رأسهما علی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یوافق رغباتهم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یمکن الرکون إلی ما یروی عن علی و ابن عبّاس فی الغسل فی الوضوء، لأنّه قد ثبت لدینا من جهة أخری بأسانید أصحّ أنّ مذهب أهل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روایتهم عن النبی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لا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فالعقل طبقاً لما تقدم لا یقبل أیَّ نسبة أو أیّ روایة مرویة إلی علی و ابن عبّاس توافق نهج الخلفاء و خصوصاً إذا عارضها منقول آخر عنهما فی الصحاح و المسانید، لأنّ الأرجح فی النقلین هو ما یخالف نظرة الخلیفة دائماً، بل و حتی لو کان مرجوحاً سنداً فإنه یبقیٰ هو الأولی فی مقام الأخذ، و ذلک للأمور التالیة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خلاصة لما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النهج الحاکم من نقل ما یفیدهم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تَخالفُ المنقول فی الموطأ و غیره مع روایات مدرسة أهل البیت </w:t>
      </w:r>
    </w:p>
    <w:p>
      <w:pPr>
        <w:pStyle w:val="BookText"/>
        <w:rPr/>
      </w:pPr>
      <w:r>
        <w:rPr>
          <w:rFonts w:ascii="IRNazanin" w:hAnsi="IRNazanin" w:eastAsia="IRNazanin"/>
          <w:color w:val="111111"/>
          <w:sz w:val="28"/>
          <w:sz w:val="28"/>
          <w:szCs w:val="28"/>
          <w:rtl w:val="true"/>
          <w:lang w:bidi="fa-IR"/>
        </w:rPr>
        <w:t>و التی توارثوها کابراً عن کابر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إصرار نهج الاجتهاد و الرأی علی عدم الأخذ بفقه علی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سار علی منهاج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الحصار علیهم فقهیاً و سیاسیاً، و کلّ هذا یدعونا للقول بعدم صحة المنسوب الغسلی فی الصحاح و المسانید إلی هؤلاء؛ لتخالفه مع الفقه الثابت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أیضا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الموجود مع الثابت عن أهل البیت علیهم السلام فی مرویّاتهم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أحد النقلین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و ابن عبّاس فی صحاح و کتب العامة مع مرویات مدرسة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و ابن عبّاس فی کتب الفقه و التفسیر و الحدیث العامیّة هو المسح علی الأقدام، و هو یوافق الثابت عنهم فی مرویات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یتأکّد بأنّ مرویّات الغسل منسوبة إلی ابن عبّاس فی مقامنا هذا، بخلاف المسح الذی رواه الفریقان عنه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تلخص مما مرّ أنّ نهج الاجتهاد و الرأی کان یؤکّد علی لزوم الأخذ بفقه أبی بکر و عمر و عثمان و معاویة و بقیة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المخالفة لفقه علی و ابن عبّاس و من نهج نهجهما، و أنّ وجود مفردات تؤیّد ما یذهب إلیه هؤلاء المجتهدون عن أعیان الصحابة المتعبّدین یدعونا للقول بأنّ الحکومتین الأمویة و العباسیة و من قبلهما الصحابة الحاکمون من نهج </w:t>
      </w:r>
      <w:bookmarkStart w:id="146" w:name="pg1276_10191"/>
    </w:p>
    <w:p>
      <w:pPr>
        <w:pStyle w:val="BookText"/>
        <w:rPr/>
      </w:pPr>
      <w:bookmarkEnd w:id="146"/>
      <w:r>
        <w:rPr>
          <w:rFonts w:ascii="IRNazanin" w:hAnsi="IRNazanin" w:eastAsia="IRNazanin"/>
          <w:color w:val="111111"/>
          <w:sz w:val="28"/>
          <w:sz w:val="28"/>
          <w:szCs w:val="28"/>
          <w:rtl w:val="true"/>
          <w:lang w:bidi="fa-IR"/>
        </w:rPr>
        <w:t>الاجتهاد کان لهم أکبر الأثر فی ترسیخ ما ذهب إلیه هؤلاء، و خصوصاً حینما لم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واضِحٍ مُلْتَزَمٍ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یوضّح الوجه الآخر لفقه علیّ بن أبی طالب و ابن عبّاس فی أصول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فنحن نرجّح أن تکون النسبة التی لا توافق الخلفاء فی صحاح القوم هی الأقرب إلی فقه علی بن أبی طالب و ابن عبّاس، للعوامل التی قلناها، و لوجودها فی مدوّنات أهل البیت التی توارثوها کابراً عن کابر، و هذا الفهم و التحلیل یوضح لنا مقصود الإمام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بما خالف العامّة فإنّ الرشد فی خلافهم</w:t>
      </w:r>
      <w:r>
        <w:rPr>
          <w:rFonts w:eastAsia="IRNazanin" w:cs="IRNazanin"/>
          <w:color w:val="111111"/>
          <w:sz w:val="28"/>
          <w:szCs w:val="28"/>
          <w:rtl w:val="true"/>
          <w:lang w:bidi="fa-IR"/>
        </w:rPr>
        <w:t xml:space="preserve">» </w:t>
      </w:r>
      <w:r>
        <w:rPr>
          <w:rStyle w:val="FootnoteAnchor"/>
          <w:rtl w:val="true"/>
        </w:rPr>
        <w:footnoteReference w:id="272"/>
      </w:r>
    </w:p>
    <w:p>
      <w:pPr>
        <w:pStyle w:val="Heading4"/>
        <w:numPr>
          <w:ilvl w:val="3"/>
          <w:numId w:val="1"/>
        </w:numPr>
        <w:rPr/>
      </w:pPr>
      <w:bookmarkStart w:id="147" w:name="__RefHeading___Toc3231819_373438147"/>
      <w:bookmarkStart w:id="148" w:name="_Toc54"/>
      <w:bookmarkEnd w:id="147"/>
      <w:r>
        <w:rPr>
          <w:rtl w:val="true"/>
        </w:rPr>
        <w:t>معالم الوحدة و التضاد فی مرویات ابن عبّاس الوضوئیة</w:t>
      </w:r>
      <w:bookmarkEnd w:id="148"/>
    </w:p>
    <w:p>
      <w:pPr>
        <w:pStyle w:val="BookText"/>
        <w:rPr/>
      </w:pPr>
      <w:r>
        <w:rPr>
          <w:rFonts w:ascii="IRNazanin" w:hAnsi="IRNazanin" w:eastAsia="IRNazanin"/>
          <w:color w:val="111111"/>
          <w:sz w:val="28"/>
          <w:sz w:val="28"/>
          <w:szCs w:val="28"/>
          <w:rtl w:val="true"/>
          <w:lang w:bidi="fa-IR"/>
        </w:rPr>
        <w:t>تقدّم علیک فیما مرّ من البحوث اختلاف النقل عن ابن عباس فی الوضوء غسلًا و مسحاً، و قلنا أنّ الطرق الغسلیّة إلیه تنتهی إلی تابعیین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قد أعللنا الطریق الأول منه بالانقطاع، لکون زید قد عنعن عن عطاء و هو ممن یدلّس، و الثانی بعدم ثبوت الطریق إلی سعید بن جبیر و عدم اعتماد الأعلام علی هذا الطریق</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الطرق المسحیّة فهی الأکثر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عن الربیع بنت المعوذ أنّ ابن عبّاس اعترض علیها لروایتها الغسل فی الرجلین، و تأکیده أنّه لا یجد فی کتاب اللّٰه إلّا المسح، و إنّ حکایة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عبد اللّه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ابن عبّاس علیها هو اعتراف منها بعدم قبول الطالبیین نقلها للغسل عن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جابر بن زید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عکرمة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یوسف بن مهران عنه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قد فرغنا فی الصفحات السابقة من بیان النکات السندیة و الدلالیة و قلنا أنّ الأخبار الغسلیّة عن ابن عبّاس لا یمکنها أن تعارض الأخبار المسحیّة، بل هی مرجوحة بالنسبة إلیها، لعدة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الرواة عن ابن عبّاس فی المسح، و کون أغلب هؤلاء من تلامیذ ابن عبّاس و المدوّنین لحدیثه، بخلاف رواة الغسل الذین هم الأقل عدداً و ممّن لم یختصّوا به کما اختصّ به رواة المسح عنه و لم یکونوا من المدوّنین، و هذا ما سنوضحه بعد قلیل إن شاء اللّٰه تعالی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النص المسحی عن ابن عبّاس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غسلتان و مسحتان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النصوص الغسلیّة فهی مختلفة النصّ و المعنی، فإنّ اتحاد النصّ المنقول بطرق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کالمُشَاهد فی الإسناد الأول المسحی </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ثلاثة من أعلام التابعین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کمعمر بن راشد فی إسناد مصنف عبد الرزاق، و روح بن القاسم فی إسناد ابن ماجة و ابن أبی شیبة، و سفیان بن عیینة فی إسناد الحمیدی و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لَقَرینة علی صدور المسح عن ابن عبّاس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قرائن کثیرة دالة علی کون الغسل قد شرّع لاحقاً؛ لقول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 إلّا الغسل و لا أجد فی کتاب اللّٰه إلّا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اعتراضه علی الربیع بنت المعوذ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کلام ابن عبّاس إشارة إلی حقائق کثیرة، منها دلالة القرآن علی المسح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 کتاب اللّٰه إلّا 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السنة علیه کذلک لاعتراضه علی الربیع بنت المعوذ لما سمع حکایتها عن رسول اللّٰه صلی الله علیه و آله فی الغسل،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ابن عبّاس من قاعدة الإلزام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لإقناع من یعتقد بصحة القیاس و الوجوه الاستحسانیة فی التشریع؛ لقوله لهم فی خبرٍ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ذکر التیمم فجعل مکان الغسلتین مسحتین و ترک المسحتین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ثبوت هذه النصوص عنه تشیر إلی أنّ ابن عبّاس کان یری الغسل ظاهرة حکومیة عمل بها الناس لاحقاً و لیس فی القرآن و السنة النبویة ما یدل علیه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المحفوظ عن ابن عبّاس فی کتب الحدیث و التفسیر </w:t>
      </w:r>
    </w:p>
    <w:p>
      <w:pPr>
        <w:pStyle w:val="BookText"/>
        <w:rPr/>
      </w:pPr>
      <w:r>
        <w:rPr>
          <w:rFonts w:ascii="IRNazanin" w:hAnsi="IRNazanin" w:eastAsia="IRNazanin"/>
          <w:color w:val="111111"/>
          <w:sz w:val="28"/>
          <w:sz w:val="28"/>
          <w:szCs w:val="28"/>
          <w:rtl w:val="true"/>
          <w:lang w:bidi="fa-IR"/>
        </w:rPr>
        <w:t>و الفقه هو المسح، و أمّا حکایة الغسل عنه فمختلف فیها، و إن اعتبرنا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فستکون شاذّة بالنسبة إلی المحفوظ عنه من ذهابه إلی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النصوص التی جاءت عن ابن عبّاس و ابن عقیل و علیّ ابن أبی طالب و علی بن الحسین و محمّد بن علی الباقر و جعفر بن محمّد الصادق لتؤکّد علی أنّ مذهب الطالبیین کان المسح، و قد أکّدنا علی أنّ علی بن الحسین لمّا أرسل عبد اللّه بن محمّد بن عقیل إلی الربیع کی یسألها عن وضوء رسول اللّٰه صلی الله علیه و آله کان یعنی بفعله الاستنکار لا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فظاهرة الاستنکار علی الوضوء الغسلی کانت بارزة شاخصة فی العصر الإسلامی الأوّل، و یرشدنا إلی ذلک ما فعله ابن عبّاس و ابن عقیل مع الربیع، و قد فهمت الربیع من ابن عقیل أنّه جاءها مستنکراً لا مستفهماً إذ قالت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جاءنی ابن عم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بذلک ابن عبّاس</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ابن عقیل بسؤاله إیاها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شی‌ء کان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أراد إرشادها إلی سقم حکایتها؛ إذ أنّ ما تنقله لا یتّفق مع الثابت عن رسول اللّٰه، و أنّه صلی الله علیه و آله کان یتوضّأ بالمد و یغتسل بالصاع، و هو الآخر لا یتّفق مع غسل الأعضاء ثلاثاً، لأنّ تثلیث الأعضاء یحتاج إلی أضعاف مُدٍّ من ماء، و أنّ المدّ هو الذی یتفق مع غسل الأعضاء مرة أو مرتین، و بعد ذلک لا یبقی ماء کی تُغسل به الرجلان، و یتعین بذلک المسح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عقیل أراد أن ینقد کلامها عملًا و یوضّح لها عدم تطابق ما تحکیه مع ما </w:t>
      </w:r>
    </w:p>
    <w:p>
      <w:pPr>
        <w:pStyle w:val="BookText"/>
        <w:rPr/>
      </w:pPr>
      <w:r>
        <w:rPr>
          <w:rFonts w:ascii="IRNazanin" w:hAnsi="IRNazanin" w:eastAsia="IRNazanin"/>
          <w:color w:val="111111"/>
          <w:sz w:val="28"/>
          <w:sz w:val="28"/>
          <w:szCs w:val="28"/>
          <w:rtl w:val="true"/>
          <w:lang w:bidi="fa-IR"/>
        </w:rPr>
        <w:t>تفرضه فی عدد الغسلات، و غسل الممسوحات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ما حکاه ابن جریج، عن عبد اللّه بن أبی یزید،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یکفینی من الوضوء؟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یکفینی للغسل؟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کفی مَن هو خیر منک رسول اللّٰه صلی الله علیه و آله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فی آخر عن ابن جریج، عن عمرو بن دینار، عن عکرمة،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ابنَ عبّاس ما یکفی من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و مدٌّ للوضوء،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 لک فیکفی من هو خیر منک رسول اللّٰه </w:t>
      </w:r>
      <w:r>
        <w:rPr>
          <w:rStyle w:val="FootnoteAnchor"/>
          <w:rtl w:val="true"/>
        </w:rPr>
        <w:footnoteReference w:id="27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لو أردنا التأکد من صحّة ما توصلنا إلیه فلا بدّ لنا من الوقوف کذلک علی مرویات ابن عبّاس الوضوئیة الأخری و مدی تطابق مرویاته مع مرویات أهل بیت النبوة علی نحو العموم و فقه علی بن أبی طالب علی </w:t>
      </w:r>
    </w:p>
    <w:p>
      <w:pPr>
        <w:pStyle w:val="BookText"/>
        <w:rPr/>
      </w:pPr>
      <w:r>
        <w:rPr>
          <w:rFonts w:ascii="IRNazanin" w:hAnsi="IRNazanin" w:eastAsia="IRNazanin"/>
          <w:color w:val="111111"/>
          <w:sz w:val="28"/>
          <w:sz w:val="28"/>
          <w:szCs w:val="28"/>
          <w:rtl w:val="true"/>
          <w:lang w:bidi="fa-IR"/>
        </w:rPr>
        <w:t>وجه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نری علیاً و ابن عبّاس و غیرهما من شخصیات أهل البیت یتّحدون فی النقل عن رسول اللّٰه صلی الله علیه و آله و أنّه توضّأ المرة و المرتین </w:t>
      </w:r>
      <w:r>
        <w:rPr>
          <w:rStyle w:val="FootnoteAnchor"/>
          <w:rtl w:val="true"/>
        </w:rPr>
        <w:footnoteReference w:id="277"/>
      </w:r>
      <w:r>
        <w:rPr>
          <w:rFonts w:ascii="IRNazanin" w:hAnsi="IRNazanin" w:eastAsia="IRNazanin"/>
          <w:color w:val="111111"/>
          <w:sz w:val="28"/>
          <w:sz w:val="28"/>
          <w:szCs w:val="28"/>
          <w:rtl w:val="true"/>
          <w:lang w:bidi="fa-IR"/>
        </w:rPr>
        <w:t>، و أما الثلاث فلا یرتضونها و ما جاء عنهم بخلاف ذلک فهو المنسوب إلیهم غیر الثابت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کانوا یتّحدون فی نقل المضمضة و الاستنشاق عن رسول اللّٰه صلی الله علیه و آله </w:t>
      </w:r>
      <w:r>
        <w:rPr>
          <w:rStyle w:val="FootnoteAnchor"/>
          <w:rtl w:val="true"/>
        </w:rPr>
        <w:footnoteReference w:id="278"/>
      </w:r>
      <w:r>
        <w:rPr>
          <w:rFonts w:ascii="Amiri" w:hAnsi="Amiri" w:eastAsia="Amiri" w:cs="Amiri"/>
          <w:color w:val="111111"/>
          <w:sz w:val="28"/>
          <w:sz w:val="28"/>
          <w:szCs w:val="28"/>
          <w:rtl w:val="true"/>
          <w:lang w:bidi="ar-SA"/>
        </w:rPr>
        <w:t xml:space="preserve">، و قد صرّح ابن عبّاس بأنّ القُبْلَة غیر ناقضة للوضوء </w:t>
      </w:r>
      <w:r>
        <w:rPr>
          <w:rStyle w:val="FootnoteAnchor"/>
          <w:rtl w:val="true"/>
        </w:rPr>
        <w:footnoteReference w:id="279"/>
      </w:r>
      <w:r>
        <w:rPr>
          <w:rFonts w:ascii="IRNazanin" w:hAnsi="IRNazanin" w:eastAsia="IRNazanin"/>
          <w:color w:val="111111"/>
          <w:sz w:val="28"/>
          <w:sz w:val="28"/>
          <w:szCs w:val="28"/>
          <w:rtl w:val="true"/>
          <w:lang w:bidi="fa-IR"/>
        </w:rPr>
        <w:t xml:space="preserve">مثل ما یذهب إلیه أهل بیت النبوة </w:t>
      </w:r>
      <w:r>
        <w:rPr>
          <w:rStyle w:val="FootnoteAnchor"/>
          <w:rtl w:val="true"/>
        </w:rPr>
        <w:footnoteReference w:id="280"/>
      </w:r>
      <w:r>
        <w:rPr>
          <w:rFonts w:ascii="IRNazanin" w:hAnsi="IRNazanin" w:eastAsia="IRNazanin"/>
          <w:color w:val="111111"/>
          <w:sz w:val="28"/>
          <w:sz w:val="28"/>
          <w:szCs w:val="28"/>
          <w:rtl w:val="true"/>
          <w:lang w:bidi="fa-IR"/>
        </w:rPr>
        <w:t xml:space="preserve">، خلافاً لعمر بن الخطاب الذی کان یری الوضوء فیها </w:t>
      </w:r>
      <w:r>
        <w:rPr>
          <w:rStyle w:val="FootnoteAnchor"/>
          <w:rtl w:val="true"/>
        </w:rPr>
        <w:footnoteReference w:id="28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بجواز الوضوء بماء البحر </w:t>
      </w:r>
      <w:r>
        <w:rPr>
          <w:rStyle w:val="FootnoteAnchor"/>
          <w:rtl w:val="true"/>
        </w:rPr>
        <w:footnoteReference w:id="282"/>
      </w:r>
      <w:r>
        <w:rPr>
          <w:rFonts w:ascii="IRNazanin" w:hAnsi="IRNazanin" w:eastAsia="IRNazanin"/>
          <w:color w:val="111111"/>
          <w:sz w:val="28"/>
          <w:sz w:val="28"/>
          <w:szCs w:val="28"/>
          <w:rtl w:val="true"/>
          <w:lang w:bidi="fa-IR"/>
        </w:rPr>
        <w:t>، هو الموافق لما جاء عن أهل البیت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روایته جواز المسح بالمندیل بعد الوضوء عن رسول اللّٰه صلی الله علیه و آله </w:t>
      </w:r>
      <w:r>
        <w:rPr>
          <w:rStyle w:val="FootnoteAnchor"/>
          <w:rtl w:val="true"/>
        </w:rPr>
        <w:footnoteReference w:id="283"/>
      </w:r>
      <w:r>
        <w:rPr>
          <w:rFonts w:ascii="IRNazanin" w:hAnsi="IRNazanin" w:eastAsia="IRNazanin"/>
          <w:color w:val="111111"/>
          <w:sz w:val="28"/>
          <w:sz w:val="28"/>
          <w:szCs w:val="28"/>
          <w:rtl w:val="true"/>
          <w:lang w:bidi="fa-IR"/>
        </w:rPr>
        <w:t xml:space="preserve">، هو الآخر الموافق لما جاء عن أهل بیت النبوة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 فی المقابل لم نره یقول بما قاله البعض من أنّ مسّ الذکر ینقض الوضوء </w:t>
      </w:r>
      <w:r>
        <w:rPr>
          <w:rStyle w:val="FootnoteAnchor"/>
          <w:rtl w:val="true"/>
        </w:rPr>
        <w:footnoteReference w:id="285"/>
      </w:r>
      <w:r>
        <w:rPr>
          <w:rFonts w:ascii="IRNazanin" w:hAnsi="IRNazanin" w:eastAsia="IRNazanin"/>
          <w:color w:val="111111"/>
          <w:sz w:val="28"/>
          <w:sz w:val="28"/>
          <w:szCs w:val="28"/>
          <w:rtl w:val="true"/>
          <w:lang w:bidi="fa-IR"/>
        </w:rPr>
        <w:t xml:space="preserve">، کما ذهب إلی ذلک مروان بن الحکم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و لم یَرَ ابنُ عبّاس نتفَ الإبط ناقضاً للوضوء کما روی التزام ذلک عن عمر بن الخطّاب و عبد اللّه بن عمرو بن العاص </w:t>
      </w:r>
      <w:r>
        <w:rPr>
          <w:rStyle w:val="FootnoteAnchor"/>
          <w:rtl w:val="true"/>
        </w:rPr>
        <w:footnoteReference w:id="28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لم یذهب إلی الوضوء مما مسته النار </w:t>
      </w:r>
      <w:r>
        <w:rPr>
          <w:rStyle w:val="FootnoteAnchor"/>
          <w:rtl w:val="true"/>
        </w:rPr>
        <w:footnoteReference w:id="288"/>
      </w:r>
      <w:r>
        <w:rPr>
          <w:rFonts w:ascii="IRNazanin" w:hAnsi="IRNazanin" w:eastAsia="IRNazanin"/>
          <w:color w:val="111111"/>
          <w:sz w:val="28"/>
          <w:sz w:val="28"/>
          <w:szCs w:val="28"/>
          <w:rtl w:val="true"/>
          <w:lang w:bidi="fa-IR"/>
        </w:rPr>
        <w:t xml:space="preserve">و من أکل لحوم الابل </w:t>
      </w:r>
      <w:r>
        <w:rPr>
          <w:rStyle w:val="FootnoteAnchor"/>
          <w:rtl w:val="true"/>
        </w:rPr>
        <w:footnoteReference w:id="289"/>
      </w:r>
      <w:r>
        <w:rPr>
          <w:rFonts w:ascii="IRNazanin" w:hAnsi="IRNazanin" w:eastAsia="IRNazanin"/>
          <w:color w:val="111111"/>
          <w:sz w:val="28"/>
          <w:sz w:val="28"/>
          <w:szCs w:val="28"/>
          <w:rtl w:val="true"/>
          <w:lang w:bidi="fa-IR"/>
        </w:rPr>
        <w:t xml:space="preserve">، بل کان یری الوضوء مما یخرج و لیس مما یدخل </w:t>
      </w:r>
      <w:r>
        <w:rPr>
          <w:rStyle w:val="FootnoteAnchor"/>
          <w:rtl w:val="true"/>
        </w:rPr>
        <w:footnoteReference w:id="290"/>
      </w:r>
      <w:r>
        <w:rPr>
          <w:rFonts w:ascii="IRNazanin" w:hAnsi="IRNazanin" w:eastAsia="IRNazanin"/>
          <w:color w:val="111111"/>
          <w:sz w:val="28"/>
          <w:sz w:val="28"/>
          <w:szCs w:val="28"/>
          <w:rtl w:val="true"/>
          <w:lang w:bidi="fa-IR"/>
        </w:rPr>
        <w:t xml:space="preserve">حیث روی عن رسول اللّٰه صلی الله علیه و آله أنه أکل کتف شاة ثمّ صلی و لم یتوضأ </w:t>
      </w:r>
      <w:r>
        <w:rPr>
          <w:rStyle w:val="FootnoteAnchor"/>
          <w:rtl w:val="true"/>
        </w:rPr>
        <w:footnoteReference w:id="291"/>
      </w:r>
      <w:r>
        <w:rPr>
          <w:rFonts w:ascii="IRNazanin" w:hAnsi="IRNazanin" w:eastAsia="IRNazanin"/>
          <w:color w:val="111111"/>
          <w:sz w:val="28"/>
          <w:sz w:val="28"/>
          <w:szCs w:val="28"/>
          <w:rtl w:val="true"/>
          <w:lang w:bidi="fa-IR"/>
        </w:rPr>
        <w:t xml:space="preserve">، و فی </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انتهش من کتف ثمّ صلّی و لم یتوضأ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کان ابن عبّاس یری جواز استعمال الرجل فضل وضوء المرأة </w:t>
      </w:r>
      <w:r>
        <w:rPr>
          <w:rStyle w:val="FootnoteAnchor"/>
          <w:rtl w:val="true"/>
        </w:rPr>
        <w:footnoteReference w:id="293"/>
      </w:r>
      <w:r>
        <w:rPr>
          <w:rFonts w:ascii="IRNazanin" w:hAnsi="IRNazanin" w:eastAsia="IRNazanin"/>
          <w:color w:val="111111"/>
          <w:sz w:val="28"/>
          <w:sz w:val="28"/>
          <w:szCs w:val="28"/>
          <w:rtl w:val="true"/>
          <w:lang w:bidi="fa-IR"/>
        </w:rPr>
        <w:t>، و هو الموافق لمذهب أهل بیت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لا یقول بأنّ النبیذ وَضُوءٌ لمن لم یجد الماء </w:t>
      </w:r>
      <w:r>
        <w:rPr>
          <w:rStyle w:val="FootnoteAnchor"/>
          <w:rtl w:val="true"/>
        </w:rPr>
        <w:footnoteReference w:id="29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یرد عنه کراهة ردّ السلام لغیر المتوضّی </w:t>
      </w:r>
      <w:r>
        <w:rPr>
          <w:rStyle w:val="FootnoteAnchor"/>
          <w:rtl w:val="true"/>
        </w:rPr>
        <w:footnoteReference w:id="295"/>
      </w:r>
      <w:r>
        <w:rPr>
          <w:rFonts w:ascii="IRNazanin" w:hAnsi="IRNazanin" w:eastAsia="IRNazanin"/>
          <w:color w:val="111111"/>
          <w:sz w:val="28"/>
          <w:sz w:val="28"/>
          <w:szCs w:val="28"/>
          <w:rtl w:val="true"/>
          <w:lang w:bidi="fa-IR"/>
        </w:rPr>
        <w:t xml:space="preserve">، و کان لا یری مسح الرأس مقبلًا و مدبراً </w:t>
      </w:r>
      <w:r>
        <w:rPr>
          <w:rStyle w:val="FootnoteAnchor"/>
          <w:rtl w:val="true"/>
        </w:rPr>
        <w:footnoteReference w:id="296"/>
      </w:r>
      <w:r>
        <w:rPr>
          <w:rFonts w:ascii="IRNazanin" w:hAnsi="IRNazanin" w:eastAsia="IRNazanin"/>
          <w:color w:val="111111"/>
          <w:sz w:val="28"/>
          <w:sz w:val="28"/>
          <w:szCs w:val="28"/>
          <w:rtl w:val="true"/>
          <w:lang w:bidi="fa-IR"/>
        </w:rPr>
        <w:t xml:space="preserve">، و لا الوضوء بالثلج </w:t>
      </w:r>
      <w:r>
        <w:rPr>
          <w:rStyle w:val="FootnoteAnchor"/>
          <w:rtl w:val="true"/>
        </w:rPr>
        <w:footnoteReference w:id="297"/>
      </w:r>
      <w:r>
        <w:rPr>
          <w:rFonts w:ascii="IRNazanin" w:hAnsi="IRNazanin" w:eastAsia="IRNazanin"/>
          <w:color w:val="111111"/>
          <w:sz w:val="28"/>
          <w:sz w:val="28"/>
          <w:szCs w:val="28"/>
          <w:rtl w:val="true"/>
          <w:lang w:bidi="fa-IR"/>
        </w:rPr>
        <w:t xml:space="preserve">و لا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یدری أین باتت یده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الوضوء من الدم </w:t>
      </w:r>
      <w:r>
        <w:rPr>
          <w:rStyle w:val="FootnoteAnchor"/>
          <w:rtl w:val="true"/>
        </w:rPr>
        <w:footnoteReference w:id="299"/>
      </w:r>
      <w:r>
        <w:rPr>
          <w:rFonts w:ascii="IRNazanin" w:hAnsi="IRNazanin" w:eastAsia="IRNazanin"/>
          <w:color w:val="111111"/>
          <w:sz w:val="28"/>
          <w:sz w:val="28"/>
          <w:szCs w:val="28"/>
          <w:rtl w:val="true"/>
          <w:lang w:bidi="fa-IR"/>
        </w:rPr>
        <w:t xml:space="preserve">و لا غیر ذلک من مفردات </w:t>
      </w:r>
      <w:bookmarkStart w:id="149" w:name="pg1276_10199"/>
    </w:p>
    <w:p>
      <w:pPr>
        <w:pStyle w:val="BookText"/>
        <w:rPr/>
      </w:pPr>
      <w:bookmarkEnd w:id="149"/>
      <w:r>
        <w:rPr>
          <w:rFonts w:ascii="Amiri" w:hAnsi="Amiri" w:eastAsia="Amiri" w:cs="Amiri"/>
          <w:color w:val="111111"/>
          <w:sz w:val="28"/>
          <w:sz w:val="28"/>
          <w:szCs w:val="28"/>
          <w:rtl w:val="true"/>
          <w:lang w:bidi="ar-SA"/>
        </w:rPr>
        <w:t>مدرسة الاجتهاد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جاءت عنه روایات فی المسح علی الخفین و التوقیت فیه و غسل الأرجل، و مسح الأذنین ظاهرهما و باطنهما، و قد وضّحنا حال الأولین منها، و أما حدیث مسح الأذنین </w:t>
      </w:r>
      <w:r>
        <w:rPr>
          <w:rStyle w:val="FootnoteAnchor"/>
          <w:rtl w:val="true"/>
        </w:rPr>
        <w:footnoteReference w:id="300"/>
      </w:r>
      <w:r>
        <w:rPr>
          <w:rFonts w:ascii="IRNazanin" w:hAnsi="IRNazanin" w:eastAsia="IRNazanin"/>
          <w:color w:val="111111"/>
          <w:sz w:val="28"/>
          <w:sz w:val="28"/>
          <w:szCs w:val="28"/>
          <w:rtl w:val="true"/>
          <w:lang w:bidi="fa-IR"/>
        </w:rPr>
        <w:t>فهو الآخر باطل النسبة إلیه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مسح الأذنین یماثل وضوء الربیع بنت المعوذ، الذی لم یفعله ابن عبّاس نفسه بل اعترض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اشتهار هذا الأمر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هو عبد اللّه بن إدریس، عن محمّد بن عجلان، عن زید بن أسلم، عن عطاء عن ابن عبّاس، و قد تقدّم کلامنا عنه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فقد اتّضح لنا أنّ عبد اللّه بن عبّاس یتّحد مع علی و أهل بیته فی نهجه العام، و یخالف النهج الفقهی و السیاسی الحاکم فی مساره العام</w:t>
      </w:r>
      <w:r>
        <w:rPr>
          <w:rFonts w:eastAsia="IRNazanin" w:cs="IRNazanin"/>
          <w:color w:val="111111"/>
          <w:sz w:val="28"/>
          <w:szCs w:val="28"/>
          <w:rtl w:val="true"/>
          <w:lang w:bidi="fa-IR"/>
        </w:rPr>
        <w:t>.</w:t>
      </w:r>
    </w:p>
    <w:p>
      <w:pPr>
        <w:pStyle w:val="Heading4"/>
        <w:numPr>
          <w:ilvl w:val="3"/>
          <w:numId w:val="1"/>
        </w:numPr>
        <w:rPr/>
      </w:pPr>
      <w:bookmarkStart w:id="150" w:name="__RefHeading___Toc3231821_373438147"/>
      <w:bookmarkStart w:id="151" w:name="_Toc55"/>
      <w:bookmarkEnd w:id="150"/>
      <w:r>
        <w:rPr>
          <w:rtl w:val="true"/>
        </w:rPr>
        <w:t>التدوین بین المانعین و المجیزین</w:t>
      </w:r>
      <w:r>
        <w:rPr>
          <w:rtl w:val="true"/>
        </w:rPr>
        <w:t>:</w:t>
      </w:r>
      <w:bookmarkEnd w:id="15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کانت ملابسات أمر الوضوء ترتبط ارتباطاً أساسیّاً بمسألة جواز التحدیث و الکتابة و التدوین و عدم جوازها، و مسألة التعبد المحض و العمل بالرأی، بحیث لا یمکن انفکاکهما، کان لا بدّ لنا من إلقاء الضوء علی حقیقة أنّ روّاد الوضوء الثنائی المسحی هم من المتعبدین و من المجیزین للتحدیث و الکتابة و التدوین، و أنّ المؤسسین و الداعین للوضوء الثلاثی الغسلی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زمن عثمان و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العاملین بالرأی و من المانعین للتحدیث و الکتابة و التدوین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أقرّ عثمان بن عفّان بأنّ المخالفین لوضوئه الثلاثی الغسلی هم من المحدّثین المتعبدین فقال بعد أن توضّأ وضوءاً غسلیّاً ثلاثیّاً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أناساً یتحدثون عن رسول اللّٰه بأحادیث لا أدری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أنی رأیت رسول اللّٰه توضّأ مثل وضوئی هذا</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تُری ما هو سرّ معارضة المحدثین لعثمان؟ و ما هو سبب منع الشیخین و أتباعهما للتحدیث و الکتابة و التدوین؟ و لما ذا فتح باب التدوین بعد زمن طویل فی زمان عمر بن عبد العزیز؟ و ما ارتباط کل ذلک بالوضوء؟</w:t>
      </w:r>
    </w:p>
    <w:p>
      <w:pPr>
        <w:pStyle w:val="BookText"/>
        <w:rPr/>
      </w:pPr>
      <w:r>
        <w:rPr>
          <w:rFonts w:ascii="IRNazanin" w:hAnsi="IRNazanin" w:eastAsia="IRNazanin"/>
          <w:color w:val="111111"/>
          <w:sz w:val="28"/>
          <w:sz w:val="28"/>
          <w:szCs w:val="28"/>
          <w:rtl w:val="true"/>
          <w:lang w:bidi="fa-IR"/>
        </w:rPr>
        <w:t>نحن سنعرض علیک بنحو الاختصار منع الخلفاء أصحاب الرأی للتدوین، و إصرار المتعبدین علی جوازه، و ستقف علی تطبیق مفردات هذه الکلّیة علی مرویات عبد اللّه بن عباس الوضوئیة، و ستری أن غالب رواة المسح عنه هم من المدونین، بعکس رواة الغسل عنه فإنّ غالبهم من أتباع منع التدوین، و إلیک الآن مجمل الکلام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عن الخلیفة أبی بکر أنّه جمع الناس بعد وفاة نبیهم و نهاهم عن التحدیث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تحدّثوا عن رسول اللّٰه صلی الله علیه و آله، فمن سألکم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 بینکم کتاب اللّٰه فاستحلّوا حلاله و حرّموا حرامه</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 و قد أحرق </w:t>
      </w:r>
    </w:p>
    <w:p>
      <w:pPr>
        <w:pStyle w:val="BookText"/>
        <w:rPr/>
      </w:pPr>
      <w:r>
        <w:rPr>
          <w:rFonts w:ascii="IRNazanin" w:hAnsi="IRNazanin" w:eastAsia="IRNazanin"/>
          <w:color w:val="111111"/>
          <w:sz w:val="28"/>
          <w:sz w:val="28"/>
          <w:szCs w:val="28"/>
          <w:rtl w:val="true"/>
          <w:lang w:bidi="fa-IR"/>
        </w:rPr>
        <w:t xml:space="preserve">بالفعل مدوّنته الحدیثیة التی کان فیها خمسمائة حدیثاً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مثله کان فعل الخلیفة عمر بن الخطّاب، فإنّه لمّا بلغه أنّه قد ظهرت فی أیدی الناس کتب، استنکرهها و کرهها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بلغنی أنّه قد ظهرت فی أیدیکم کتب فأحبّها إلی اللّٰه أعدلها و أقومها، فلا یبقین أحد عنده کتاباً إلّا أتانی به، فأری فیه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فظنوا أنه یرید أن ینظر فیها و یقوّمها علی أمرٍ لا یکون فیه اختلاف، فأتوه بکتبهم، فأحرقها بالنار،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أمنیة کأمنیة أهل الکتاب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روی عن یحیی بن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أراد أن یکتب السنة، ثمّ بدا له أن لا یکتبها، ثمّ کتب فی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عنده منها شی‌ء فلیمحه </w:t>
      </w:r>
      <w:r>
        <w:rPr>
          <w:rStyle w:val="FootnoteAnchor"/>
          <w:rtl w:val="true"/>
        </w:rPr>
        <w:footnoteReference w:id="30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عمر بن الخطاب قد استشار الصحابة فی تدوین أحادیث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فأشاروا علیه بأن یکتبها، فطفق یستخیر اللّٰه فیها شهراً، ثمّ أصبح یوماً و قد عزم اللّٰه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أردت أن أکتب السنن، و إنّی ذکرت قوماً کانوا قبلکم کتبوا کتباً فأکبّوا علیها، فترکوا کتاب اللّٰه تعالی، و إنّی لا ألبس کتاب اللّٰه بشی‌ء أبداً</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النصوص تؤکّد علی أنّ مذهب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بعدهما عثمان و معاویة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هو النهی عن حدیث رسول اللّٰه صلی الله علیه و آله و کتابته و تدوینه لأسباب ذکرناها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 و أنّ رسول اللّٰه صلی الله علیه و آله کان قد أخبر بوقوع هذا الأمر من بعده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أفعال المقاربة، و قد تحقّق بالفعل من بعده؛ حیث أخرج أحمد فی مسنده و ابن ماجة و أبو داود و الدارمی و البیهقی فی سننهم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الرجل متّکئ علی أریکته یحدّث بحدیثی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 بینکم کتاب اللّٰه، فما وجدناه فیه من حلال أحللناه و من حرام حرّمناه</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و هذا بعینه ما قاله الخلیفة أبو بکر بعد وفاة رسول اللّٰه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نهج الاجتهاد و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تصحیحاً لما ذهب إلیه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کراهة التدوین إلی بعض أعیان الصحابة کابن عبّاس </w:t>
      </w:r>
      <w:r>
        <w:rPr>
          <w:rStyle w:val="FootnoteAnchor"/>
          <w:rtl w:val="true"/>
        </w:rPr>
        <w:footnoteReference w:id="309"/>
      </w:r>
      <w:r>
        <w:rPr>
          <w:rFonts w:ascii="IRNazanin" w:hAnsi="IRNazanin" w:eastAsia="IRNazanin"/>
          <w:color w:val="111111"/>
          <w:sz w:val="28"/>
          <w:sz w:val="28"/>
          <w:szCs w:val="28"/>
          <w:rtl w:val="true"/>
          <w:lang w:bidi="fa-IR"/>
        </w:rPr>
        <w:t xml:space="preserve">و ابن </w:t>
      </w:r>
    </w:p>
    <w:p>
      <w:pPr>
        <w:pStyle w:val="BookText"/>
        <w:rPr/>
      </w:pPr>
      <w:r>
        <w:rPr>
          <w:rFonts w:ascii="IRNazanin" w:hAnsi="IRNazanin" w:eastAsia="IRNazanin"/>
          <w:color w:val="111111"/>
          <w:sz w:val="28"/>
          <w:sz w:val="28"/>
          <w:szCs w:val="28"/>
          <w:rtl w:val="true"/>
          <w:lang w:bidi="fa-IR"/>
        </w:rPr>
        <w:t xml:space="preserve">مسعود </w:t>
      </w:r>
      <w:r>
        <w:rPr>
          <w:rStyle w:val="FootnoteAnchor"/>
          <w:rtl w:val="true"/>
        </w:rPr>
        <w:footnoteReference w:id="310"/>
      </w:r>
      <w:r>
        <w:rPr>
          <w:rFonts w:ascii="IRNazanin" w:hAnsi="IRNazanin" w:eastAsia="IRNazanin"/>
          <w:color w:val="111111"/>
          <w:sz w:val="28"/>
          <w:sz w:val="28"/>
          <w:szCs w:val="28"/>
          <w:rtl w:val="true"/>
          <w:lang w:bidi="fa-IR"/>
        </w:rPr>
        <w:t>و غیرهما، لکنّ المراجع لسیرتهم و مواقفهم یعرف سقم هذه النسبة إلیهم، و أنّ اختلاف النقل عنهم یشیر إلی هذه الحقیقة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أخرج الخطیب بسنده إلی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یأتی أبا رافع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رسول اللّٰه صلی الله علیه و آله یوم کذا؟ ما صنع رسول اللّٰه صلی الله علیه و آله یوم کذا؟</w:t>
      </w:r>
    </w:p>
    <w:p>
      <w:pPr>
        <w:pStyle w:val="BookText"/>
        <w:rPr/>
      </w:pPr>
      <w:r>
        <w:rPr>
          <w:rFonts w:ascii="IRNazanin" w:hAnsi="IRNazanin" w:eastAsia="IRNazanin"/>
          <w:color w:val="111111"/>
          <w:sz w:val="28"/>
          <w:sz w:val="28"/>
          <w:szCs w:val="28"/>
          <w:rtl w:val="true"/>
          <w:lang w:bidi="fa-IR"/>
        </w:rPr>
        <w:t xml:space="preserve">و مع ابن عبّاس ألواح یکتب فیها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عن ابن عبّاس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قیدوا العلم، و تقییده کتابته</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و فی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ما قُیّد به العلم الکتاب</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و فی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قیّدوا العلم بالکتاب، من یشتری منّی علماً بدرهم</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لی عبد الرحمن بن عبد اللّه بن مسعود کتاباً و حلف لی أنّه خطّ أبیه بیده </w:t>
      </w:r>
      <w:r>
        <w:rPr>
          <w:rStyle w:val="FootnoteAnchor"/>
          <w:rtl w:val="true"/>
        </w:rPr>
        <w:footnoteReference w:id="31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فالنصوص توضّح أنّ ابن عبّاس و ابن مسعود کانا من المدوّنین و المحدثین و أنّ الحقیقة هی أنّ النهی عن تدوین الحدیث هو ممّا شرعه الشیخان، و کان مما یؤرّق أنصارهم و یؤذیهم، إذ کیف یمکن فرض الحصار علی حدیث رسول اللّٰه و هو صلی الله علیه و آله المبیّن لأحکام اللّٰه؟ </w:t>
      </w:r>
    </w:p>
    <w:p>
      <w:pPr>
        <w:pStyle w:val="BookText"/>
        <w:rPr/>
      </w:pPr>
      <w:r>
        <w:rPr>
          <w:rFonts w:ascii="IRNazanin" w:hAnsi="IRNazanin" w:eastAsia="IRNazanin"/>
          <w:color w:val="111111"/>
          <w:sz w:val="28"/>
          <w:sz w:val="28"/>
          <w:szCs w:val="28"/>
          <w:rtl w:val="true"/>
          <w:lang w:bidi="fa-IR"/>
        </w:rPr>
        <w:t>فمن أجل رفع هذا التنافی وضعوا أوّلًا أحادیث دالّة علی نهی رسول اللّٰه صلی الله علیه و آله عن کتابة حدیثه، ثمّ تشکیکهم بالنصوص الدالة علی نهی الشیخین عن حدیث رسول اللّٰه، و أخیراً نقل أقوال عن الخلیفة الثانی دالّة علی لزوم الکتابة،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قیدوا العلم بالکتاب</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فالحضر علی حدیث رسول اللّٰه صلی الله علیه و آله و منع الکتابة هو مما لا یقبله أحد، فما جاء عن زید بن ثابت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أمرنا أن لا نکتب شیئاً من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یخالف ما نقل عنه من سماحه بالکتابة و کتابته للفرائض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 بن برقان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الزهری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زید بن ثابت کتب الفرائض لرأیتُ أنّها ستذهب من الناس </w:t>
      </w:r>
      <w:r>
        <w:rPr>
          <w:rStyle w:val="FootnoteAnchor"/>
          <w:rtl w:val="true"/>
        </w:rPr>
        <w:footnoteReference w:id="31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الفرائض لزید بن ثابت رحمه الله حدّثنی به أبو بکر … عن خارجه بن زید بن ثابت، عن أبیه زید بن ثابت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الدکتور الأعظمی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تزال مقدّمة هذا الکتاب محفوظة فی المعجم الکبیر للطبرانی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عن کثیر بن أفلح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نکتب عن زید بن ثابت … </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 و روی قتادة عن کثیر بن الصلت أنّهم کانوا یکتبون عن زید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الحال بالنسبة إلی أبی سعید الخدری، فلو صحّ أنّ الخُدری روی عن النبیّ صلی الله علیه و آله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تکتبوا عنّی إلّا القرآن فمن کتب عنّی شیئاً غیر القرآن فلیمحه</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فکیف نراه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کنا نکتب شیئاً غیر التشهد 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عن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الاستخارة</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غیر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عنه قوله لأبی نضرة بأنّه سیکتب إلی ابن عبّاس أن لا یفتیه فی مسألة الصرف </w:t>
      </w:r>
      <w:r>
        <w:rPr>
          <w:rStyle w:val="FootnoteAnchor"/>
          <w:rtl w:val="true"/>
        </w:rPr>
        <w:footnoteReference w:id="324"/>
      </w:r>
      <w:r>
        <w:rPr>
          <w:rFonts w:ascii="IRNazanin" w:hAnsi="IRNazanin" w:eastAsia="IRNazanin"/>
          <w:color w:val="111111"/>
          <w:sz w:val="28"/>
          <w:sz w:val="28"/>
          <w:szCs w:val="28"/>
          <w:rtl w:val="true"/>
          <w:lang w:bidi="fa-IR"/>
        </w:rPr>
        <w:t>، و هذان یشیران إلی کتابته غیر القرآن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روایات أبی هریرة الناهیة </w:t>
      </w:r>
      <w:r>
        <w:rPr>
          <w:rStyle w:val="FootnoteAnchor"/>
          <w:rtl w:val="true"/>
        </w:rPr>
        <w:footnoteReference w:id="325"/>
      </w:r>
      <w:r>
        <w:rPr>
          <w:rFonts w:ascii="IRNazanin" w:hAnsi="IRNazanin" w:eastAsia="IRNazanin"/>
          <w:color w:val="111111"/>
          <w:sz w:val="28"/>
          <w:sz w:val="28"/>
          <w:szCs w:val="28"/>
          <w:rtl w:val="true"/>
          <w:lang w:bidi="fa-IR"/>
        </w:rPr>
        <w:t>فیعارضها قوله للحسن بن عمرو بن أمیّة الضمری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سمعته منّی فهو مکتوب عندی، فأخذ بیدی إلی بیته فأرانا کتباً کثیرة من حدیث رسول اللّٰه صلی الله علیه و آله، فوجد ذلک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أخبرتُکَ إن کُنتُ حدّثتک به فهو مکتوب عندی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قول بشیر بن نهیک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آتی أبا هریرة فآخذ منه الکتب، فأنسخها، ثمّ أقرأها علیه،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سمعتها منک؟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کتب عن أبی هریرة مضافاً إلی بشیر بن نهیک، أبو صالح السمان </w:t>
      </w:r>
      <w:r>
        <w:rPr>
          <w:rStyle w:val="FootnoteAnchor"/>
          <w:rtl w:val="true"/>
        </w:rPr>
        <w:footnoteReference w:id="328"/>
      </w:r>
      <w:r>
        <w:rPr>
          <w:rFonts w:ascii="IRNazanin" w:hAnsi="IRNazanin" w:eastAsia="IRNazanin"/>
          <w:color w:val="111111"/>
          <w:sz w:val="28"/>
          <w:sz w:val="28"/>
          <w:szCs w:val="28"/>
          <w:rtl w:val="true"/>
          <w:lang w:bidi="fa-IR"/>
        </w:rPr>
        <w:t xml:space="preserve">و سعید المقبری </w:t>
      </w:r>
      <w:r>
        <w:rPr>
          <w:rStyle w:val="FootnoteAnchor"/>
          <w:rtl w:val="true"/>
        </w:rPr>
        <w:footnoteReference w:id="329"/>
      </w:r>
      <w:r>
        <w:rPr>
          <w:rFonts w:ascii="IRNazanin" w:hAnsi="IRNazanin" w:eastAsia="IRNazanin"/>
          <w:color w:val="111111"/>
          <w:sz w:val="28"/>
          <w:sz w:val="28"/>
          <w:szCs w:val="28"/>
          <w:rtl w:val="true"/>
          <w:lang w:bidi="fa-IR"/>
        </w:rPr>
        <w:t xml:space="preserve">و عبد العزیز بن مروان </w:t>
      </w:r>
      <w:r>
        <w:rPr>
          <w:rStyle w:val="FootnoteAnchor"/>
          <w:rtl w:val="true"/>
        </w:rPr>
        <w:footnoteReference w:id="330"/>
      </w:r>
      <w:r>
        <w:rPr>
          <w:rFonts w:ascii="IRNazanin" w:hAnsi="IRNazanin" w:eastAsia="IRNazanin"/>
          <w:color w:val="111111"/>
          <w:sz w:val="28"/>
          <w:sz w:val="28"/>
          <w:szCs w:val="28"/>
          <w:rtl w:val="true"/>
          <w:lang w:bidi="fa-IR"/>
        </w:rPr>
        <w:t xml:space="preserve">، و همام بن منبه </w:t>
      </w:r>
      <w:r>
        <w:rPr>
          <w:rStyle w:val="FootnoteAnchor"/>
          <w:rtl w:val="true"/>
        </w:rPr>
        <w:footnoteReference w:id="331"/>
      </w:r>
      <w:r>
        <w:rPr>
          <w:rFonts w:ascii="IRNazanin" w:hAnsi="IRNazanin" w:eastAsia="IRNazanin"/>
          <w:color w:val="111111"/>
          <w:sz w:val="28"/>
          <w:sz w:val="28"/>
          <w:szCs w:val="28"/>
          <w:rtl w:val="true"/>
          <w:lang w:bidi="fa-IR"/>
        </w:rPr>
        <w:t xml:space="preserve">، و عبد اللّه بن هرمز </w:t>
      </w:r>
      <w:r>
        <w:rPr>
          <w:rStyle w:val="FootnoteAnchor"/>
          <w:rtl w:val="true"/>
        </w:rPr>
        <w:footnoteReference w:id="332"/>
      </w:r>
      <w:r>
        <w:rPr>
          <w:rFonts w:ascii="IRNazanin" w:hAnsi="IRNazanin" w:eastAsia="IRNazanin"/>
          <w:color w:val="111111"/>
          <w:sz w:val="28"/>
          <w:sz w:val="28"/>
          <w:szCs w:val="28"/>
          <w:rtl w:val="true"/>
          <w:lang w:bidi="fa-IR"/>
        </w:rPr>
        <w:t xml:space="preserve">و مروان بن الحکم </w:t>
      </w:r>
      <w:r>
        <w:rPr>
          <w:rStyle w:val="FootnoteAnchor"/>
          <w:rtl w:val="true"/>
        </w:rPr>
        <w:footnoteReference w:id="333"/>
      </w:r>
      <w:r>
        <w:rPr>
          <w:rFonts w:ascii="IRNazanin" w:hAnsi="IRNazanin" w:eastAsia="IRNazanin"/>
          <w:color w:val="111111"/>
          <w:sz w:val="28"/>
          <w:sz w:val="28"/>
          <w:szCs w:val="28"/>
          <w:rtl w:val="true"/>
          <w:lang w:bidi="fa-IR"/>
        </w:rPr>
        <w:t xml:space="preserve">و محمد بن سیرین </w:t>
      </w:r>
      <w:r>
        <w:rPr>
          <w:rStyle w:val="FootnoteAnchor"/>
          <w:rtl w:val="true"/>
        </w:rPr>
        <w:footnoteReference w:id="334"/>
      </w:r>
      <w:r>
        <w:rPr>
          <w:rFonts w:ascii="IRNazanin" w:hAnsi="IRNazanin" w:eastAsia="IRNazanin"/>
          <w:color w:val="111111"/>
          <w:sz w:val="28"/>
          <w:sz w:val="28"/>
          <w:szCs w:val="28"/>
          <w:rtl w:val="true"/>
          <w:lang w:bidi="fa-IR"/>
        </w:rPr>
        <w:t xml:space="preserve">و عبید اللّٰه بن وهب القرشی </w:t>
      </w:r>
      <w:r>
        <w:rPr>
          <w:rStyle w:val="FootnoteAnchor"/>
          <w:rtl w:val="true"/>
        </w:rPr>
        <w:footnoteReference w:id="335"/>
      </w:r>
      <w:r>
        <w:rPr>
          <w:rFonts w:ascii="IRNazanin" w:hAnsi="IRNazanin" w:eastAsia="IRNazanin"/>
          <w:color w:val="111111"/>
          <w:sz w:val="28"/>
          <w:sz w:val="28"/>
          <w:szCs w:val="28"/>
          <w:rtl w:val="true"/>
          <w:lang w:bidi="fa-IR"/>
        </w:rPr>
        <w:t xml:space="preserve">و عقبة بن أبی الحسناء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هذه النصوص توضّح حقیقة أنّ أمر التدوین کان جائزاً علی عهد رسول اللّٰه صلی الله علیه و آله، و لم یحظر من قِبَلِهِ صلی الله علیه و آله، بل کان النهی قراراً من </w:t>
      </w:r>
    </w:p>
    <w:p>
      <w:pPr>
        <w:pStyle w:val="BookText"/>
        <w:rPr/>
      </w:pPr>
      <w:r>
        <w:rPr>
          <w:rFonts w:ascii="IRNazanin" w:hAnsi="IRNazanin" w:eastAsia="IRNazanin"/>
          <w:color w:val="111111"/>
          <w:sz w:val="28"/>
          <w:sz w:val="28"/>
          <w:szCs w:val="28"/>
          <w:rtl w:val="true"/>
          <w:lang w:bidi="fa-IR"/>
        </w:rPr>
        <w:t xml:space="preserve">الشیخین، لقول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کتب فی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العبارات الدالّة علی إرادته الخاصّة و رغبته الشخصیّة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کان الأمر کذلک فلا بدّ من الوقوف عند أحادیث النهی المدّعی صدورها عن رسول اللّٰه صلی الله علیه و آله؛ إذ هی تخالف تماماً روح التشریع الإسلامی الدالّة علی کسب العلم و الحاضّة علی الکتابة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فَاکْتُبُوهُ وَ لٰا تَسْئَمُوا أَنْ تَکْتُبُوهُ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w:t>
      </w:r>
    </w:p>
    <w:p>
      <w:pPr>
        <w:pStyle w:val="BookText"/>
        <w:rPr/>
      </w:pPr>
      <w:r>
        <w:rPr>
          <w:rFonts w:ascii="IRNazanin" w:hAnsi="IRNazanin" w:eastAsia="IRNazanin"/>
          <w:color w:val="111111"/>
          <w:sz w:val="28"/>
          <w:sz w:val="28"/>
          <w:szCs w:val="28"/>
          <w:rtl w:val="true"/>
          <w:lang w:bidi="fa-IR"/>
        </w:rPr>
        <w:t>و علیه، فیمکن عدّ أحد أسباب اختلاف النقل عن الصحابی الواحد هو محاولة النهج الحاکم إرجاع أحد قولَی الصحابی إلی ما قاله الخلفاء و شرّعوه من أحکام، و لا یختصّ مدّعانا هذا بما شرّعه الشیخان، بل یمکن تعمیمه إلی غیرهما من الخلفاء، کعثمان و معاویة و … و حتی لعائشة و لأبی هریرة و غیرهم من أئمّة الفقه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لو جمعنا هذه المفردات من کتب الفقه و الحدیث و التفسیر لصار مجلداً ضخماً، یوضِّح مسار انحرافِ کمٍّ ضخم من الأحکام الشرعیة التی یعمل علیها کثیر من المسلمین الیوم، و هو ما نحیله علی أصحاب الفکر و القلم لدراسته و الکتابة فیه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فقد عرفنا وجود اتجاهین، أحدهما یدافع عن قرارات الخلیفة و یطلب لکلامه الأعذار، و الآخر یصرّ علی الأخذ من رسول اللّٰه صلی الله علیه و آله و ما جاء به الوحی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سمّینا الاتجاه الأوّل بأصحاب الرأی و الاجتهاد، و الثانی بالتعبد المحض، و قد کان هذان الاتجاهان علی تخالف </w:t>
      </w:r>
    </w:p>
    <w:p>
      <w:pPr>
        <w:pStyle w:val="BookText"/>
        <w:rPr/>
      </w:pPr>
      <w:r>
        <w:rPr>
          <w:rFonts w:ascii="IRNazanin" w:hAnsi="IRNazanin" w:eastAsia="IRNazanin"/>
          <w:color w:val="111111"/>
          <w:sz w:val="28"/>
          <w:sz w:val="28"/>
          <w:szCs w:val="28"/>
          <w:rtl w:val="true"/>
          <w:lang w:bidi="fa-IR"/>
        </w:rPr>
        <w:t xml:space="preserve">و تضادّ، فما یذهب إلیه الأوّل ینفیه الثانی لعدم تطابقه مع القرآن و السنة النبویة، و ما کان یذهب إلیه الثانی لا یعمل به الأوّل لمخالفته لاجتهاده و رأیه، و قد مر علیک قبل قلیل کلام الخلیفة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تحدّثون عن رسول اللّٰه صلی الله علیه و آله أحادیث تختلفون فیها، و الناس بعدکم أشدّ اختلافاً، فلا تحدّثوا عن رسول اللّٰه صلی الله علیه و آله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یبقین أحدٌ عنده کتاب إلّا أتانی به فأری فیه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النصوص توضّح بأنّ الشیخین لم یرتضیا التدوین و التحدیث عن رسول اللّٰه صلی الله علیه و آله، و أنّ الناس قد کرهوا التدوین؛ لکراهة الشیخین له، ثمّ أحبّوه لحب عمر بن عبد العزیز له؛ قال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نکره التدوین حتّی أکرهنا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فالنهی إذاً لم یکن نهیاً شرعیاً عن رسول اللّٰه صلی الله علیه و آله، بل الاتجاه الفقهی للاجتهاد و الرأی بَذَرَ بذرته و راح فی الأزمنة اللاحقة یسعی إلی تحدید الحدیث عن رسول اللّٰه صلی الله علیه و آله و تأطیره بخصوص ما عمل به فی عهد أبی بکر و عمر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الطبقات الکبری لابن سعد و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محمود بن لبید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عثمان علی المنبر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لأحد أن یروی حدیثاً عن رسول اللّٰه صلی الله علیه و آله لم یسمع به فی عهد أبی بکر و لا عهد عمر </w:t>
      </w:r>
      <w:r>
        <w:rPr>
          <w:rStyle w:val="FootnoteAnchor"/>
          <w:rtl w:val="true"/>
        </w:rPr>
        <w:footnoteReference w:id="33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معاویة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أقلّوا الروایة عن رسول اللّٰه صلی الله علیه و آله، إن </w:t>
      </w:r>
    </w:p>
    <w:p>
      <w:pPr>
        <w:pStyle w:val="BookText"/>
        <w:rPr/>
      </w:pPr>
      <w:r>
        <w:rPr>
          <w:rFonts w:ascii="Amiri" w:hAnsi="Amiri" w:eastAsia="Amiri" w:cs="Amiri"/>
          <w:color w:val="111111"/>
          <w:sz w:val="28"/>
          <w:sz w:val="28"/>
          <w:szCs w:val="28"/>
          <w:rtl w:val="true"/>
          <w:lang w:bidi="ar-SA"/>
        </w:rPr>
        <w:t xml:space="preserve">کنتم تحدّثون فحدّثوا بما کان یُتَحَدَّثُ به فی عهد عمر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فی روایة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 الأحادیث عن رسول اللّٰه صلی الله علیه و آله إلّا حدیثاً ذکر علی عهد عمر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هذه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هؤلاء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تؤکّد مدّعانا، حیث تری عثمان و معاویة یؤکدان علی عدم جواز نقل حدیث لم یسمع به علی عهد أبی بکر و عمر، و هذا معناه إقرارهم لما شرّع و عمل به فی عهدهما و النهی عما نَهَیَا عنه دون النظر إلی أصل الحدیث صحّةً و سُقْماً، و صدوره عن النبی صلی الله علیه و آله أو عدم صدوره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الباحث فی الفقه الإسلامی یوافقنا فیما قلناه لأنّه غالباً ما یری أنّ الفقه المطلوب و الحدیث المسموح به هو ما یوافق الاتجاه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الاجتهاد و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غیر، فلو بحثت عمّا شرعه الخلیفة عمر بن الخطّاب أو نهی عنه مثلًا لرأیته مدوّناً موجوداً فی کتب الفقه و الحدیث و یعمل به الیوم طائفة من المسلمین، و أمّا الفقه الآخر فلا تری له عیناً و لا أثراً علی الصعید العملی، و قد مرّت علیک بعض المفردات الفقهیة التی کان وراءها الخلیفة عمر، فتری ما شرّعه عمر و أئمة الفقه الحاکم هو الشرعیّ، و ما نهی عنه هو المنهیّ عنه الیوم، کالنهی عن المتعة، و مشروعیة صلاة التراویح، و النهی عن الصلاة بعد الصبح و العصر، و القول بالمسح علی </w:t>
      </w:r>
    </w:p>
    <w:p>
      <w:pPr>
        <w:pStyle w:val="BookText"/>
        <w:rPr/>
      </w:pPr>
      <w:r>
        <w:rPr>
          <w:rFonts w:ascii="IRNazanin" w:hAnsi="IRNazanin" w:eastAsia="IRNazanin"/>
          <w:color w:val="111111"/>
          <w:sz w:val="28"/>
          <w:sz w:val="28"/>
          <w:szCs w:val="28"/>
          <w:rtl w:val="true"/>
          <w:lang w:bidi="fa-IR"/>
        </w:rPr>
        <w:t>الخفّین، و تربیع التکبیرات علی المیت، و النهی عن تدوین حدیث رسول اللّٰه صلی الله علیه و آله، فتراها کما قالها عمر بن الخطّاب من ناحیة، و ملقاةً علی عواتق آخرین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نهج التعبّد المحض لم یستسلموا لقرارات الخلیفة و ما شرّعه و طبّق الرأی فیه، بل جدّوا لتطبیق ما سنّه اللّٰه و رسوله، فتری علیاً لا یرتضی الشرط الإضافی الذی أُقْحِمَ متأخّراً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نصّ المؤرخون علی أنّ عبد الرحمن بن عوف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هل أنت مبایعی علی کتاب اللّٰه و سنّة نبیّه و فعل أبی بکر و عمر؟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کتاب للّٰه و سنة نبیه فنعم، و أما سیرة الشیخین فلا </w:t>
      </w:r>
      <w:r>
        <w:rPr>
          <w:rStyle w:val="FootnoteAnchor"/>
          <w:rtl w:val="true"/>
        </w:rPr>
        <w:footnoteReference w:id="34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لم یرتض الشرط الأخیر، و معنی کلامه تَخالفُ سنة رسول اللّٰه صلی الله علیه و آله مع سیرتهما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أقل تقدیر من وجهة نظر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السنة و سیرتهما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کانتا متّحدتین لَلَزِمَ عبد الرحمن أن یعطی الخلافة لعلی؛ لعدم وجود شی‌ء فی سیرة الشیخین یخالف سنة رسول اللّٰه صلی الله علیه و آله و ما نزل به الوحی، أو لَلَزِم علیّاً الأخذ بسیرتهما، و لمّا لم یسلّم عبد الرحمن الخلافة و لم یرضَ بها علیّ بهذا الشرط المخترع، علمنا أنّ هناک تنافیاً بینهما و أنّهما لیسا بشی‌ء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رفضَ علیٍّ للشرط المذکور و امتناع ابن عوف تسلیم الخلافة له لیؤکّدان علی مخالفة سیرة الشیخین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جعل هذا القید بجنب الکتاب و السنة لیوحی بأنّه هو المطلوب من العملیة کلها، لعدم اختلاف أحد فی حجیّة الکتاب و السنة، و أمّا حجیّة فعل الشیخین فهو المختلف فیه، فإنّ قرار عمر و ابن عوف بلزوم حسم القضیة فی ثلاثة أیام مع حتمیّة موافقتهم علی اجتهادات الشیخین لیشیر إلی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اتّجاه التعبّد المحض لم یکن علی وفاق مع نهج الاجتهاد و الرأی فکریاً، فابن عوف یرید تطبیق ما سُنَّ علی عهد الشیخین، و رجال التعبد لا یرتضون إعطاء الشرعیة لهذه الاجتهادات؛ لمخالفة بعضها لکتاب اللّٰه و سنة نبیه، فکانوا یخالفون تلک المواقف و یحدّثون عن رسول اللّٰه صلی الله علیه و آله فیها، و هذه الأحادیث النبویة هی التی کانت تؤذی الخلیفة عمر بن الخطّاب، فلمّا ظهرت الأحادیث بید الناس دعاهم عنده و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أکثرتم الحدیث عن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أفشیتم الحدیث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أمرهم بالبقاء عنده حتی أصیب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فأنصار التعبّد المحض کانوا یحدّثون حتّی لو وضعت الصمصامة علی أعناقهم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الدارمی بسنده عن أبی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أبا ذر و هو جالس عن الجمرة الوسطی و قد اجتمع الناس علیه یستفتونه، </w:t>
      </w:r>
    </w:p>
    <w:p>
      <w:pPr>
        <w:pStyle w:val="BookText"/>
        <w:rPr/>
      </w:pPr>
      <w:r>
        <w:rPr>
          <w:rFonts w:ascii="Amiri" w:hAnsi="Amiri" w:eastAsia="Amiri" w:cs="Amiri"/>
          <w:color w:val="111111"/>
          <w:sz w:val="28"/>
          <w:sz w:val="28"/>
          <w:szCs w:val="28"/>
          <w:rtl w:val="true"/>
          <w:lang w:bidi="ar-SA"/>
        </w:rPr>
        <w:t xml:space="preserve">فأتاه رجلٌ </w:t>
      </w:r>
      <w:r>
        <w:rPr>
          <w:rStyle w:val="FootnoteAnchor"/>
          <w:rtl w:val="true"/>
        </w:rPr>
        <w:footnoteReference w:id="341"/>
      </w:r>
      <w:r>
        <w:rPr>
          <w:rFonts w:ascii="Amiri" w:hAnsi="Amiri" w:eastAsia="Amiri" w:cs="Amiri"/>
          <w:color w:val="111111"/>
          <w:sz w:val="28"/>
          <w:sz w:val="28"/>
          <w:szCs w:val="28"/>
          <w:rtl w:val="true"/>
          <w:lang w:bidi="ar-SA"/>
        </w:rPr>
        <w:t>فوقف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تُنْهَ عن الفتیا </w:t>
      </w:r>
      <w:r>
        <w:rPr>
          <w:rStyle w:val="FootnoteAnchor"/>
          <w:rtl w:val="true"/>
        </w:rPr>
        <w:footnoteReference w:id="3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رقیب أنت عَلَیَّ، لو وضعتم الصمصامة علی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ظننت أنی أنفذ کلمة سمعتها من رسول اللّٰه صلی الله علیه و آله قبل أن تجیزوا </w:t>
      </w:r>
      <w:r>
        <w:rPr>
          <w:rStyle w:val="FootnoteAnchor"/>
          <w:rtl w:val="true"/>
        </w:rPr>
        <w:footnoteReference w:id="343"/>
      </w:r>
      <w:r>
        <w:rPr>
          <w:rFonts w:ascii="Amiri" w:hAnsi="Amiri" w:eastAsia="Amiri" w:cs="Amiri"/>
          <w:color w:val="111111"/>
          <w:sz w:val="28"/>
          <w:sz w:val="28"/>
          <w:szCs w:val="28"/>
          <w:rtl w:val="true"/>
          <w:lang w:bidi="ar-SA"/>
        </w:rPr>
        <w:t xml:space="preserve">عَلَیَّ لأنفذتها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ابن سعد فی طبقاته عن ابن مرثد عن أبیه مرثد بن عبد اللّه الزمانی،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وقف علیه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ینهکَ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الفتیا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 قد روی الأحنف بن قیس أنّ النّٰاس کانوا یهربون من أبی ذر و حدیثه و مجالسته بعد نهی عثمان الناس عن مجالسته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تاریخ دمشق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و الطبقات الکبری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دلیل علی أنّ أبا ذر کان لا یری طاعة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نهاه عن الفتیا، لأنّه کان یری أنّ ذلک واجب علیه لأمر النبی صلی الله علیه و آله بالتبلیغ عنه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فالاتّجاه الحاکم کان لا یرید أن یتحدّث أبو ذر و أمثاله بالأحکام التی قد لا توافق الخلیفة؛ لأنّ المشهد عظیم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الجمرة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یجتمع فیه الحجیج، لکونه مجمع الصاعد منهم إلی العقبة، و الهابط إلی الجمرة الصغری، فکلامُ أبی ذر فی هذا المشهد و اجتماع الناس علیه یستفتونه هو ما لا یرضی الخلفاء، و قد نهی عمرُ أبا ذر عن التحدیث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أخرج الحاکم بسنده عن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قال لابن مسعود و لأبی ذر و لأبی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الحدیث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أحسبه حبسهم بالمدینة حتی أصیب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فی نص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أفشیتم الحدیث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أکثرتم الحدیث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کان یری فی الإفشاء و الإکثار و نقل الحدیث ثقل المواجهة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سار معاویة علی خطی أبی بکر و عمر و عثمان فی المنع عن التحدیث و الکتابة و التدوین، إذ أخرج ابن عساکر فی تاریخه من طریق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عبادة بن الصامت بالشام فرأی آنیة من فضّة، یباع الإناء بمثله مع ما فیه أو نحو ذلک، فمشی إلیهم 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عرفنی فقد عرفنی، و من لم یعرفنی فأنا عبادة بن الصامت، ألا و إنی سمعت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مجلس من مجالس الأنصار لیلة الخمیس فی رمضان و لم یَصُم رمضان بعده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بالذهب مِثلًا بمثل، سواء بسواء، وزناً بوزن، یداً بید، فما زاد فهو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الناس عنه، فأُتی معاویة فأخبر بذلک، فأرسل إلی عبادة فأتاه،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 صحبت النبی صلی الله علیه و آله و سمعت عنه، لقد صحبناه و سمعنا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صحبتُهُ و سمعتُ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عن هذا الحدیث و لا تذکره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إن رغم أنف معاویة ثمّ قام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نجد شیئاً أبلغ فیما بینی و بین أصحاب محمّد من الصفح عنهم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لو تأنّیت فی موقف ابن عبّاس فی التلبیة لرأیته نفس موقف أبی ذر و عبادة بن الصامت و غیرهما فی رفض الأخذ بمذهب الرأی الحکومیّ، فقد أخرج النسائی فی المجتبی، و البیهقی فی السنن، 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کان بعرفة،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مالی لا أسمع الناس یلبّون؟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یخافون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ابن عبّاس من فسطاطه،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و إن رغم أنف معاویة، اللّهم العنهم، فقد ترکوا السنّة من بغض علیّ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قوله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فلاناً، عمدوا إلی أعظم أیام الحج فمحوا زینته، و إنما زینة الحجّ التلبیة </w:t>
      </w:r>
      <w:r>
        <w:rPr>
          <w:rStyle w:val="FootnoteAnchor"/>
          <w:rtl w:val="true"/>
        </w:rPr>
        <w:footnoteReference w:id="35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فأنصار التعبّد المحض لم یخضعوا إلی ما سنّه أبو بکر و عمر و عثمان و أتباعهم من مخالفات لقول رسول اللّٰه صلی الله علیه و آله و فعله، بل إنّهم کانوا یؤکّدون علی عدم ترکهم سنة رسول اللّٰه صلی الله علیه و آله لقول أحد </w:t>
      </w:r>
      <w:r>
        <w:rPr>
          <w:rStyle w:val="FootnoteAnchor"/>
          <w:rtl w:val="true"/>
        </w:rPr>
        <w:footnoteReference w:id="352"/>
      </w:r>
      <w:r>
        <w:rPr>
          <w:rFonts w:ascii="IRNazanin" w:hAnsi="IRNazanin" w:eastAsia="IRNazanin"/>
          <w:color w:val="111111"/>
          <w:sz w:val="28"/>
          <w:sz w:val="28"/>
          <w:szCs w:val="28"/>
          <w:rtl w:val="true"/>
          <w:lang w:bidi="fa-IR"/>
        </w:rPr>
        <w:t>، مصرِّحین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سنة أبی القاسم </w:t>
      </w:r>
      <w:r>
        <w:rPr>
          <w:rStyle w:val="FootnoteAnchor"/>
          <w:rtl w:val="true"/>
        </w:rPr>
        <w:footnoteReference w:id="353"/>
      </w:r>
      <w:r>
        <w:rPr>
          <w:rFonts w:ascii="IRNazanin" w:hAnsi="IRNazanin" w:eastAsia="IRNazanin"/>
          <w:color w:val="111111"/>
          <w:sz w:val="28"/>
          <w:sz w:val="28"/>
          <w:szCs w:val="28"/>
          <w:rtl w:val="true"/>
          <w:lang w:bidi="fa-IR"/>
        </w:rPr>
        <w:t>، و 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نبیکم و إن رغمتم </w:t>
      </w:r>
      <w:r>
        <w:rPr>
          <w:rStyle w:val="FootnoteAnchor"/>
          <w:rtl w:val="true"/>
        </w:rPr>
        <w:footnoteReference w:id="354"/>
      </w:r>
      <w:bookmarkStart w:id="152" w:name="pg1276_10216"/>
    </w:p>
    <w:p>
      <w:pPr>
        <w:pStyle w:val="BookText"/>
        <w:rPr/>
      </w:pPr>
      <w:bookmarkEnd w:id="152"/>
      <w:r>
        <w:rPr>
          <w:rFonts w:ascii="IRNazanin" w:hAnsi="IRNazanin" w:eastAsia="IRNazanin"/>
          <w:color w:val="111111"/>
          <w:sz w:val="28"/>
          <w:sz w:val="28"/>
          <w:szCs w:val="28"/>
          <w:rtl w:val="true"/>
          <w:lang w:bidi="fa-IR"/>
        </w:rPr>
        <w:t>و من کل هذا یتبیّن بوضوح کون ابن عباس من أصحاب مدرسة التعبد المحض لا الرأی، و من المحدثین الکاتبین المدونین لا المانعین، و من الواقفین بوجه الفقه المخالف لکتاب اللّٰه و سنّة رسوله، و لذلک کلّه کانت نسبة الخبر الثنائی المسحی فی الوضوء إلیه أقوی بمراتب من الوضوء الغسلی العثمانی الذی ألقی علی عاتق ابن عباس لأغراض حکومیّة کما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أردت التأکّد من صحّة ما قلناه من التلازم بین المدونین و الوضوء المسحی عند ابن عباس، و بین المانعین من التدوین و الوضوء الغسلی، فاقرأ معی الصفحات التالیة</w:t>
      </w:r>
      <w:r>
        <w:rPr>
          <w:rFonts w:eastAsia="IRNazanin" w:cs="IRNazanin"/>
          <w:color w:val="111111"/>
          <w:sz w:val="28"/>
          <w:szCs w:val="28"/>
          <w:rtl w:val="true"/>
          <w:lang w:bidi="fa-IR"/>
        </w:rPr>
        <w:t>:</w:t>
      </w:r>
    </w:p>
    <w:p>
      <w:pPr>
        <w:pStyle w:val="Heading4"/>
        <w:numPr>
          <w:ilvl w:val="3"/>
          <w:numId w:val="1"/>
        </w:numPr>
        <w:rPr/>
      </w:pPr>
      <w:bookmarkStart w:id="153" w:name="__RefHeading___Toc3231823_373438147"/>
      <w:bookmarkStart w:id="154" w:name="_Toc56"/>
      <w:bookmarkEnd w:id="153"/>
      <w:r>
        <w:rPr>
          <w:rtl w:val="true"/>
        </w:rPr>
        <w:t>المدونون و أخبار الوضوء عن ابن عبّاس</w:t>
      </w:r>
      <w:bookmarkEnd w:id="154"/>
    </w:p>
    <w:p>
      <w:pPr>
        <w:pStyle w:val="BookText"/>
        <w:rPr/>
      </w:pPr>
      <w:r>
        <w:rPr>
          <w:rFonts w:ascii="IRNazanin" w:hAnsi="IRNazanin" w:eastAsia="IRNazanin"/>
          <w:color w:val="111111"/>
          <w:sz w:val="28"/>
          <w:sz w:val="28"/>
          <w:szCs w:val="28"/>
          <w:rtl w:val="true"/>
          <w:lang w:bidi="fa-IR"/>
        </w:rPr>
        <w:t>لقد انقسم المسلمون بعد رسول اللّٰه صلی الله علیه و آله إلی نهجین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إلی کتابة و تدوین الحدیث، و الآخر لا یرتضی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أثبتنا أنّ المعترضین علی الخلفاء أصحاب الرأی کانوا من أهل التدوین و التحدیث عن رسول اللّٰه صلی الله علیه و آله، و أنّهم اعترضوا علیهم لمخالفة أقوالهم للثابت عندهم فی المدونات عن رسول اللّٰه صلی الله علیه و آله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أجل هذه الامور قال الخلیفة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بکتبکم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أتوه بها </w:t>
      </w:r>
    </w:p>
    <w:p>
      <w:pPr>
        <w:pStyle w:val="BookText"/>
        <w:rPr/>
      </w:pPr>
      <w:r>
        <w:rPr>
          <w:rFonts w:ascii="IRNazanin" w:hAnsi="IRNazanin" w:eastAsia="IRNazanin"/>
          <w:color w:val="111111"/>
          <w:sz w:val="28"/>
          <w:sz w:val="28"/>
          <w:szCs w:val="28"/>
          <w:rtl w:val="true"/>
          <w:lang w:bidi="fa-IR"/>
        </w:rPr>
        <w:t xml:space="preserve">أمر بحرقها، و أمر بحبس الصحابة لإشاعتهم الحدیث؛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أکثرتم الحدیث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أفشیتم الحدیث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المنافرة و المضادّة بین النهجین هی التی جعلت لکلّ منهما أنصاراً، فالبعض ینتصر للخلیفة، و الآخر لسنة رسول اللّٰه صلی الله علیه و آله، و غالب أصحاب التدوین کانوا من الشقّ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علیک عن ابن عبّاس أنّه من نهج التحدیث و التدوین و من المعارضین لاجتهادات الشیخین المعارِضة للکتاب و السنة النبویة، فثبت عنه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أراهم سیهلکون،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لو تدبرت فی کلام عثمان بن عفّان لعرفت بأنّ جلّ المعارضین له فی الوضوء کانوا من أصحاب التحدیث و التدوین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ناساً یتحدثون عن رسول اللّٰه صلی الله علیه و آله بأحادیث لا أدری ما هی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فالخلیفة عبّر عن معارضیه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یرشدنا إلی أنّ الامتداد المعارض له کبیر و أنه یمثل شریحة اجتماعیة مهمة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لو أردنا تطبیق ما قلناه عن النهجین سابقاً علی ما نحن فیه لأمکننا القول بأنّ أغلب رجال الأسانید المسحیّة عن ابن عبّاس هم من أصحاب المدونات، بعکس رجال الأسانید الغسلیّة فلم یکونوا کذلک، و هذه الحقیقة ترشدنا إلی أنّ المدوّنین رغم کلّ الضغوط المفروضة و عوامل </w:t>
      </w:r>
      <w:bookmarkStart w:id="155" w:name="pg1276_10218"/>
    </w:p>
    <w:p>
      <w:pPr>
        <w:pStyle w:val="BookText"/>
        <w:rPr/>
      </w:pPr>
      <w:bookmarkEnd w:id="155"/>
      <w:r>
        <w:rPr>
          <w:rFonts w:ascii="IRNazanin" w:hAnsi="IRNazanin" w:eastAsia="IRNazanin"/>
          <w:color w:val="111111"/>
          <w:sz w:val="28"/>
          <w:sz w:val="28"/>
          <w:szCs w:val="28"/>
          <w:rtl w:val="true"/>
          <w:lang w:bidi="fa-IR"/>
        </w:rPr>
        <w:t>التحریف قد حافظوا علی مدوناتهم، و هذا القول منّا لا یعنی بأنا نعتقد بوجود جمیع ما قاله الرسول فی الصحاح و السنن المدوّنة بأخرة، بل نحن نعتقد أنّ ظاهرة منع تدوین الحدیث قد ضیَّعت الکثیر من حدیث رسول اللّٰه صلی الله علیه و آله فلم یوجد له ذکر الیوم فی الصحاح و السنن إلّا بشکل مقتضب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روَّجَ الوضع و التحریفُ أحادیثَ کثیرة حلَّت الیوم محلَّ الأحادیث النبویة الأصیلة التی کان ینبغی أن تکون فی الصدارة لو لا المنع، و هذا مما یجب علینا توضیحه و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لو طالعنا أسماء رواة الغسل و المسح لعرفنا أنّ غالب رواة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أغلب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أصحاب المدوّنات، بخلاف رواة الغسل، فإنّ المدوّنین منهم قلة قلیلة و قد دونوا بعد فتحه من قِبَلِ عمر بن عبد العزیز، فإِلیک رواة الوضوء عن ابن عبّاس غسلًا و مسحاً لتعرف حقیقة الحال</w:t>
      </w:r>
      <w:r>
        <w:rPr>
          <w:rFonts w:eastAsia="IRNazanin" w:cs="IRNazanin"/>
          <w:color w:val="111111"/>
          <w:sz w:val="28"/>
          <w:szCs w:val="28"/>
          <w:rtl w:val="true"/>
          <w:lang w:bidi="fa-IR"/>
        </w:rPr>
        <w:t>.</w:t>
      </w:r>
    </w:p>
    <w:p>
      <w:pPr>
        <w:pStyle w:val="Heading4"/>
        <w:numPr>
          <w:ilvl w:val="3"/>
          <w:numId w:val="1"/>
        </w:numPr>
        <w:rPr/>
      </w:pPr>
      <w:bookmarkStart w:id="156" w:name="__RefHeading___Toc3231825_373438147"/>
      <w:bookmarkStart w:id="157" w:name="_Toc57"/>
      <w:bookmarkEnd w:id="156"/>
      <w:r>
        <w:rPr>
          <w:rtl w:val="true"/>
        </w:rPr>
        <w:t>رواة الغسل عن ابن عبّاس</w:t>
      </w:r>
      <w:bookmarkEnd w:id="157"/>
    </w:p>
    <w:p>
      <w:pPr>
        <w:pStyle w:val="BookText"/>
        <w:rPr/>
      </w:pPr>
      <w:r>
        <w:rPr>
          <w:rFonts w:ascii="IRNazanin" w:hAnsi="IRNazanin" w:eastAsia="IRNazanin"/>
          <w:color w:val="111111"/>
          <w:sz w:val="28"/>
          <w:sz w:val="28"/>
          <w:szCs w:val="28"/>
          <w:rtl w:val="true"/>
          <w:lang w:bidi="fa-IR"/>
        </w:rPr>
        <w:t>الإسناد الاول</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الرحیم،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سلمة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أسلم، عن عطاء بن یسار، عن ابن عبّاس …</w:t>
      </w:r>
    </w:p>
    <w:p>
      <w:pPr>
        <w:pStyle w:val="BookText"/>
        <w:rPr/>
      </w:pPr>
      <w:r>
        <w:rPr>
          <w:rFonts w:ascii="IRNazanin" w:hAnsi="IRNazanin" w:eastAsia="IRNazanin"/>
          <w:color w:val="111111"/>
          <w:sz w:val="28"/>
          <w:sz w:val="28"/>
          <w:szCs w:val="28"/>
          <w:rtl w:val="true"/>
          <w:lang w:bidi="fa-IR"/>
        </w:rPr>
        <w:t>الإسناد الثانی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أبی شیبة، حدّثنا محمد بن بشر، حدّثنا هشام بن سعد، حدثنا زید بن أسلم، عن عطاء بن یسار، عن ابن عبّاس … </w:t>
      </w:r>
    </w:p>
    <w:p>
      <w:pPr>
        <w:pStyle w:val="BookText"/>
        <w:rPr/>
      </w:pPr>
      <w:r>
        <w:rPr>
          <w:rFonts w:ascii="IRNazanin" w:hAnsi="IRNazanin" w:eastAsia="IRNazanin"/>
          <w:color w:val="111111"/>
          <w:sz w:val="28"/>
          <w:sz w:val="28"/>
          <w:szCs w:val="28"/>
          <w:rtl w:val="true"/>
          <w:lang w:bidi="fa-IR"/>
        </w:rPr>
        <w:t>الإسناد الثالث</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مجاهد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عجلان، عن زید بن أسلم، عن عطاء بن یسار، عن ابن عبّاس …</w:t>
      </w:r>
    </w:p>
    <w:p>
      <w:pPr>
        <w:pStyle w:val="BookText"/>
        <w:rPr/>
      </w:pPr>
      <w:r>
        <w:rPr>
          <w:rFonts w:ascii="IRNazanin" w:hAnsi="IRNazanin" w:eastAsia="IRNazanin"/>
          <w:color w:val="111111"/>
          <w:sz w:val="28"/>
          <w:sz w:val="28"/>
          <w:szCs w:val="28"/>
          <w:rtl w:val="true"/>
          <w:lang w:bidi="fa-IR"/>
        </w:rPr>
        <w:t>الإسناد الرابع</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الهیثم بن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أسلم، عن عطاء بن یسار، عن ابن عبّاس …</w:t>
      </w:r>
    </w:p>
    <w:p>
      <w:pPr>
        <w:pStyle w:val="BookText"/>
        <w:rPr/>
      </w:pPr>
      <w:r>
        <w:rPr>
          <w:rFonts w:ascii="IRNazanin" w:hAnsi="IRNazanin" w:eastAsia="IRNazanin"/>
          <w:color w:val="111111"/>
          <w:sz w:val="28"/>
          <w:sz w:val="28"/>
          <w:szCs w:val="28"/>
          <w:rtl w:val="true"/>
          <w:lang w:bidi="fa-IR"/>
        </w:rPr>
        <w:t>الإسناد الاخیر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ما رواه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حدثنا یزید بن هارون، أخبرنا عباد بن منصور، عن عکرمة بن خالد، عن سعید بن جبیر، عن ابن عبّاس … </w:t>
      </w:r>
    </w:p>
    <w:p>
      <w:pPr>
        <w:pStyle w:val="BookText"/>
        <w:rPr/>
      </w:pPr>
      <w:r>
        <w:rPr>
          <w:rFonts w:ascii="IRNazanin" w:hAnsi="IRNazanin" w:eastAsia="IRNazanin"/>
          <w:color w:val="111111"/>
          <w:sz w:val="28"/>
          <w:sz w:val="28"/>
          <w:szCs w:val="28"/>
          <w:rtl w:val="true"/>
          <w:lang w:bidi="fa-IR"/>
        </w:rPr>
        <w:t>و لم یُشاهَد فی رواة هذه الأسانید اسمُ أحدٍ من المدوّنین من الصحابة و التابعین إلّا سعید بن جبیر و عبد اللّه بن عبّاس، و الأوّل لم یثبت الطریق إلیه و لم یعتمده الأعلام فی خبر الوضوء عن ابن عبّاس لوجود عبّاد بن منصور المضعّف عند الجمیع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ابن عبّاس فی مورد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فی الصفحات السابقة أنّ نسبة الغسل إلیه غیر صحیحة؛ لعدمِ إمکان الاعتماد علی ما روی عن سعید بن جبیر المارّ ذکره، و لاتّحاد الطرق الغسلیّة الأربع الأخری فی زید بن أسلم عن عطاء و هو ممن یدلّس و لاشتهار المسح عنه عند الفقهاء</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 أنت لو لاحظت رواة الغسل لا تری بینهم من أصحاب المدونات الذین دونوا الحدیث قبل عمر بن عبد العزیز، و إذا ورد اسم واحد منهم فی المدوّنین فهو من المدوّنین بعد عصر التدوین الحکومی، و هو لا یخدمنا فی توضیح ما نحن فیه، لأنّ التدوین فی عهد عمر بن عبد العزیز لم یکن کالتدوین فی عهد أبی بکر و عمر بن الخطّاب و عثمان بن عفّان و معاویة و المانعین له، و نحن مع أخذنا هذه النکتة بنظر الاعتبار لم نَرَ اسم أحد من رواة الغسل ضمن المدوّنین من التابعین و تابعی التابعین، فإنّ سلیمان بن بلال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السند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إدریس </w:t>
      </w:r>
      <w:r>
        <w:rPr>
          <w:rStyle w:val="FootnoteAnchor"/>
          <w:rtl w:val="true"/>
        </w:rPr>
        <w:footnoteReference w:id="356"/>
      </w:r>
      <w:r>
        <w:rPr>
          <w:rFonts w:ascii="IRNazanin" w:hAnsi="IRNazanin" w:eastAsia="IRNazanin"/>
          <w:color w:val="111111"/>
          <w:sz w:val="28"/>
          <w:sz w:val="28"/>
          <w:szCs w:val="28"/>
          <w:rtl w:val="true"/>
          <w:lang w:bidi="fa-IR"/>
        </w:rPr>
        <w:t xml:space="preserve">و محمّد بن عجلان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السند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عکرمة بن خالد </w:t>
      </w:r>
      <w:r>
        <w:rPr>
          <w:rStyle w:val="FootnoteAnchor"/>
          <w:rtl w:val="true"/>
        </w:rPr>
        <w:footnoteReference w:id="358"/>
      </w:r>
      <w:r>
        <w:rPr>
          <w:rFonts w:ascii="IRNazanin" w:hAnsi="IRNazanin" w:eastAsia="IRNazanin"/>
          <w:color w:val="111111"/>
          <w:sz w:val="28"/>
          <w:sz w:val="28"/>
          <w:szCs w:val="28"/>
          <w:rtl w:val="true"/>
          <w:lang w:bidi="fa-IR"/>
        </w:rPr>
        <w:t>و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السند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کانوا من المدوّنین لکنهم من المدوّنین بعد </w:t>
      </w:r>
    </w:p>
    <w:p>
      <w:pPr>
        <w:pStyle w:val="BookText"/>
        <w:rPr/>
      </w:pPr>
      <w:r>
        <w:rPr>
          <w:rFonts w:ascii="IRNazanin" w:hAnsi="IRNazanin" w:eastAsia="IRNazanin"/>
          <w:color w:val="111111"/>
          <w:sz w:val="28"/>
          <w:sz w:val="28"/>
          <w:szCs w:val="28"/>
          <w:rtl w:val="true"/>
          <w:lang w:bidi="fa-IR"/>
        </w:rPr>
        <w:t>عصر التدوین الحکومی و هو لیس محل النزاع، و مثله حال البخاری و أبی داود و النسائی و الآخرین الذین رووا لنا الغسل عن ابن عبّاس و غیره، فهُمْ و إن کانوا من المدوّنین لکنَّ تدوینهم جاء فی العصور المتأخرة عن عصر التدوین الحکومی فلا یدخلون ضمن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تجب الإشارة إلیه هو أنّ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اتّحدت الطرق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من المدوّنین عن ابن عبّاس و المختصین به، و أنت لو بحثت عن الکُتّاب المدوّنین عن ابن عبّاس لا تری اسمه ضمن أولئک کابن أبی ملیکة </w:t>
      </w:r>
      <w:r>
        <w:rPr>
          <w:rStyle w:val="FootnoteAnchor"/>
          <w:rtl w:val="true"/>
        </w:rPr>
        <w:footnoteReference w:id="359"/>
      </w:r>
      <w:r>
        <w:rPr>
          <w:rFonts w:ascii="IRNazanin" w:hAnsi="IRNazanin" w:eastAsia="IRNazanin"/>
          <w:color w:val="111111"/>
          <w:sz w:val="28"/>
          <w:sz w:val="28"/>
          <w:szCs w:val="28"/>
          <w:rtl w:val="true"/>
          <w:lang w:bidi="fa-IR"/>
        </w:rPr>
        <w:t xml:space="preserve">، و الحکم بن مقسم </w:t>
      </w:r>
      <w:r>
        <w:rPr>
          <w:rStyle w:val="FootnoteAnchor"/>
          <w:rtl w:val="true"/>
        </w:rPr>
        <w:footnoteReference w:id="360"/>
      </w:r>
      <w:r>
        <w:rPr>
          <w:rFonts w:ascii="IRNazanin" w:hAnsi="IRNazanin" w:eastAsia="IRNazanin"/>
          <w:color w:val="111111"/>
          <w:sz w:val="28"/>
          <w:sz w:val="28"/>
          <w:szCs w:val="28"/>
          <w:rtl w:val="true"/>
          <w:lang w:bidi="fa-IR"/>
        </w:rPr>
        <w:t xml:space="preserve">، و سعید بن جبیر </w:t>
      </w:r>
      <w:r>
        <w:rPr>
          <w:rStyle w:val="FootnoteAnchor"/>
          <w:rtl w:val="true"/>
        </w:rPr>
        <w:footnoteReference w:id="361"/>
      </w:r>
      <w:r>
        <w:rPr>
          <w:rFonts w:ascii="IRNazanin" w:hAnsi="IRNazanin" w:eastAsia="IRNazanin"/>
          <w:color w:val="111111"/>
          <w:sz w:val="28"/>
          <w:sz w:val="28"/>
          <w:szCs w:val="28"/>
          <w:rtl w:val="true"/>
          <w:lang w:bidi="fa-IR"/>
        </w:rPr>
        <w:t xml:space="preserve">و علی بن عبد اللّه بن عبّاس </w:t>
      </w:r>
      <w:r>
        <w:rPr>
          <w:rStyle w:val="FootnoteAnchor"/>
          <w:rtl w:val="true"/>
        </w:rPr>
        <w:footnoteReference w:id="362"/>
      </w:r>
      <w:r>
        <w:rPr>
          <w:rFonts w:ascii="IRNazanin" w:hAnsi="IRNazanin" w:eastAsia="IRNazanin"/>
          <w:color w:val="111111"/>
          <w:sz w:val="28"/>
          <w:sz w:val="28"/>
          <w:szCs w:val="28"/>
          <w:rtl w:val="true"/>
          <w:lang w:bidi="fa-IR"/>
        </w:rPr>
        <w:t xml:space="preserve">و عکرمة </w:t>
      </w:r>
      <w:r>
        <w:rPr>
          <w:rStyle w:val="FootnoteAnchor"/>
          <w:rtl w:val="true"/>
        </w:rPr>
        <w:footnoteReference w:id="363"/>
      </w:r>
      <w:r>
        <w:rPr>
          <w:rFonts w:ascii="IRNazanin" w:hAnsi="IRNazanin" w:eastAsia="IRNazanin"/>
          <w:color w:val="111111"/>
          <w:sz w:val="28"/>
          <w:sz w:val="28"/>
          <w:szCs w:val="28"/>
          <w:rtl w:val="true"/>
          <w:lang w:bidi="fa-IR"/>
        </w:rPr>
        <w:t xml:space="preserve">و کریب </w:t>
      </w:r>
      <w:r>
        <w:rPr>
          <w:rStyle w:val="FootnoteAnchor"/>
          <w:rtl w:val="true"/>
        </w:rPr>
        <w:footnoteReference w:id="364"/>
      </w:r>
      <w:r>
        <w:rPr>
          <w:rFonts w:ascii="IRNazanin" w:hAnsi="IRNazanin" w:eastAsia="IRNazanin"/>
          <w:color w:val="111111"/>
          <w:sz w:val="28"/>
          <w:sz w:val="28"/>
          <w:szCs w:val="28"/>
          <w:rtl w:val="true"/>
          <w:lang w:bidi="fa-IR"/>
        </w:rPr>
        <w:t xml:space="preserve">و مجاهد </w:t>
      </w:r>
      <w:r>
        <w:rPr>
          <w:rStyle w:val="FootnoteAnchor"/>
          <w:rtl w:val="true"/>
        </w:rPr>
        <w:footnoteReference w:id="365"/>
      </w:r>
      <w:r>
        <w:rPr>
          <w:rFonts w:ascii="IRNazanin" w:hAnsi="IRNazanin" w:eastAsia="IRNazanin"/>
          <w:color w:val="111111"/>
          <w:sz w:val="28"/>
          <w:sz w:val="28"/>
          <w:szCs w:val="28"/>
          <w:rtl w:val="true"/>
          <w:lang w:bidi="fa-IR"/>
        </w:rPr>
        <w:t xml:space="preserve">و نجدة الحروری </w:t>
      </w:r>
      <w:r>
        <w:rPr>
          <w:rStyle w:val="FootnoteAnchor"/>
          <w:rtl w:val="true"/>
        </w:rPr>
        <w:footnoteReference w:id="366"/>
      </w:r>
      <w:r>
        <w:rPr>
          <w:rFonts w:ascii="IRNazanin" w:hAnsi="IRNazanin" w:eastAsia="IRNazanin"/>
          <w:color w:val="111111"/>
          <w:sz w:val="28"/>
          <w:sz w:val="28"/>
          <w:szCs w:val="28"/>
          <w:rtl w:val="true"/>
          <w:lang w:bidi="fa-IR"/>
        </w:rPr>
        <w:t xml:space="preserve">و عمرو بن دینار </w:t>
      </w:r>
      <w:r>
        <w:rPr>
          <w:rStyle w:val="FootnoteAnchor"/>
          <w:rtl w:val="true"/>
        </w:rPr>
        <w:footnoteReference w:id="36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بعکس الطرق المسحیّة عن ابن عبّاس، فقد حکی عکرمةُ </w:t>
      </w:r>
      <w:bookmarkStart w:id="158" w:name="pg1276_10222"/>
    </w:p>
    <w:p>
      <w:pPr>
        <w:pStyle w:val="BookText"/>
        <w:rPr/>
      </w:pPr>
      <w:bookmarkEnd w:id="158"/>
      <w:r>
        <w:rPr>
          <w:rFonts w:ascii="IRNazanin" w:hAnsi="IRNazanin" w:eastAsia="IRNazanin"/>
          <w:color w:val="111111"/>
          <w:sz w:val="28"/>
          <w:sz w:val="28"/>
          <w:szCs w:val="28"/>
          <w:rtl w:val="true"/>
          <w:lang w:bidi="fa-IR"/>
        </w:rPr>
        <w:t>المسحَ عن ابن عبّاس و کان من المدوّنین عنه، و عنه أخذ عمرو بن دینار و هو الآخر من المدوّنین و من المختصّین به؛ حتی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أجلس عند ابن عبّاس، ما کتبت عنه إلّا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عیینة عن سفیان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أعلم بعلم ابن عبّاس رضی اللّٰه عنه من عمرو بن دینار، سمع ابن عبّاس رضی اللّٰه عنه و سمع أصحابه، و سیتضح لک هذا الأمر بالأرقام حین بحثنا عن رواة المسح عن ابن عبّاس</w:t>
      </w:r>
      <w:r>
        <w:rPr>
          <w:rFonts w:eastAsia="IRNazanin" w:cs="IRNazanin"/>
          <w:color w:val="111111"/>
          <w:sz w:val="28"/>
          <w:szCs w:val="28"/>
          <w:rtl w:val="true"/>
          <w:lang w:bidi="fa-IR"/>
        </w:rPr>
        <w:t>.</w:t>
      </w:r>
    </w:p>
    <w:p>
      <w:pPr>
        <w:pStyle w:val="Heading4"/>
        <w:numPr>
          <w:ilvl w:val="3"/>
          <w:numId w:val="1"/>
        </w:numPr>
        <w:rPr/>
      </w:pPr>
      <w:bookmarkStart w:id="159" w:name="__RefHeading___Toc3231827_373438147"/>
      <w:bookmarkStart w:id="160" w:name="_Toc58"/>
      <w:bookmarkEnd w:id="159"/>
      <w:r>
        <w:rPr>
          <w:rtl w:val="true"/>
        </w:rPr>
        <w:t>رواة المسح عن ابن عبّاس</w:t>
      </w:r>
      <w:bookmarkEnd w:id="160"/>
    </w:p>
    <w:p>
      <w:pPr>
        <w:pStyle w:val="BookText"/>
        <w:rPr/>
      </w:pPr>
      <w:r>
        <w:rPr>
          <w:rFonts w:ascii="IRNazanin" w:hAnsi="IRNazanin" w:eastAsia="IRNazanin"/>
          <w:color w:val="111111"/>
          <w:sz w:val="28"/>
          <w:sz w:val="28"/>
          <w:szCs w:val="28"/>
          <w:rtl w:val="true"/>
          <w:lang w:bidi="fa-IR"/>
        </w:rPr>
        <w:t>الإسناد الاوّل</w:t>
      </w:r>
    </w:p>
    <w:p>
      <w:pPr>
        <w:pStyle w:val="BookText"/>
        <w:rPr/>
      </w:pPr>
      <w:r>
        <w:rPr>
          <w:rFonts w:ascii="IRNazanin" w:hAnsi="IRNazanin" w:eastAsia="IRNazanin"/>
          <w:color w:val="111111"/>
          <w:sz w:val="28"/>
          <w:sz w:val="28"/>
          <w:szCs w:val="28"/>
          <w:rtl w:val="true"/>
          <w:lang w:bidi="fa-IR"/>
        </w:rPr>
        <w:t>عبد 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دینار أنّه سمع عکرمة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رواة هذا الإسناد أئمة حفّاظ، و قد احتجّ بهم الجماعة فضلًا عن أئمة الصحاح و السنن، فعبد الرزاق قد احتجّ له الجماعة </w:t>
      </w:r>
      <w:r>
        <w:rPr>
          <w:rStyle w:val="FootnoteAnchor"/>
          <w:rtl w:val="true"/>
        </w:rPr>
        <w:footnoteReference w:id="368"/>
      </w:r>
      <w:r>
        <w:rPr>
          <w:rFonts w:ascii="IRNazanin" w:hAnsi="IRNazanin" w:eastAsia="IRNazanin"/>
          <w:color w:val="111111"/>
          <w:sz w:val="28"/>
          <w:sz w:val="28"/>
          <w:szCs w:val="28"/>
          <w:rtl w:val="true"/>
          <w:lang w:bidi="fa-IR"/>
        </w:rPr>
        <w:t xml:space="preserve">و مثله ابن جریج </w:t>
      </w:r>
      <w:r>
        <w:rPr>
          <w:rStyle w:val="FootnoteAnchor"/>
          <w:rtl w:val="true"/>
        </w:rPr>
        <w:footnoteReference w:id="369"/>
      </w:r>
      <w:r>
        <w:rPr>
          <w:rFonts w:ascii="IRNazanin" w:hAnsi="IRNazanin" w:eastAsia="IRNazanin"/>
          <w:color w:val="111111"/>
          <w:sz w:val="28"/>
          <w:sz w:val="28"/>
          <w:szCs w:val="28"/>
          <w:rtl w:val="true"/>
          <w:lang w:bidi="fa-IR"/>
        </w:rPr>
        <w:t xml:space="preserve">و عمرو بن دینار </w:t>
      </w:r>
      <w:r>
        <w:rPr>
          <w:rStyle w:val="FootnoteAnchor"/>
          <w:rtl w:val="true"/>
        </w:rPr>
        <w:footnoteReference w:id="370"/>
      </w:r>
      <w:r>
        <w:rPr>
          <w:rFonts w:ascii="IRNazanin" w:hAnsi="IRNazanin" w:eastAsia="IRNazanin"/>
          <w:color w:val="111111"/>
          <w:sz w:val="28"/>
          <w:sz w:val="28"/>
          <w:szCs w:val="28"/>
          <w:rtl w:val="true"/>
          <w:lang w:bidi="fa-IR"/>
        </w:rPr>
        <w:t xml:space="preserve">و عکرمة </w:t>
      </w:r>
      <w:r>
        <w:rPr>
          <w:rStyle w:val="FootnoteAnchor"/>
          <w:rtl w:val="true"/>
        </w:rPr>
        <w:footnoteReference w:id="371"/>
      </w:r>
      <w:r>
        <w:rPr>
          <w:rFonts w:ascii="Amiri" w:hAnsi="Amiri" w:eastAsia="Amiri" w:cs="Amiri"/>
          <w:color w:val="111111"/>
          <w:sz w:val="28"/>
          <w:sz w:val="28"/>
          <w:szCs w:val="28"/>
          <w:rtl w:val="true"/>
          <w:lang w:bidi="ar-SA"/>
        </w:rPr>
        <w:t xml:space="preserve">، و بما أنّ الجماعة قد روت لهؤلاء و ثبت </w:t>
      </w:r>
    </w:p>
    <w:p>
      <w:pPr>
        <w:pStyle w:val="BookText"/>
        <w:rPr/>
      </w:pPr>
      <w:r>
        <w:rPr>
          <w:rFonts w:ascii="IRNazanin" w:hAnsi="IRNazanin" w:eastAsia="IRNazanin"/>
          <w:color w:val="111111"/>
          <w:sz w:val="28"/>
          <w:sz w:val="28"/>
          <w:szCs w:val="28"/>
          <w:rtl w:val="true"/>
          <w:lang w:bidi="fa-IR"/>
        </w:rPr>
        <w:t xml:space="preserve">لکل واحد منهم ملازمة طویلة لمن یروی عنه و فیهم من هو أعلم بعلم ابن عبّاس من غیره، فلما ذا لا تُروی روایتهم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غسلتان و 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صحاح الجمهور؟</w:t>
      </w:r>
    </w:p>
    <w:p>
      <w:pPr>
        <w:pStyle w:val="BookText"/>
        <w:rPr/>
      </w:pPr>
      <w:r>
        <w:rPr>
          <w:rFonts w:ascii="IRNazanin" w:hAnsi="IRNazanin" w:eastAsia="IRNazanin"/>
          <w:color w:val="111111"/>
          <w:sz w:val="28"/>
          <w:sz w:val="28"/>
          <w:szCs w:val="28"/>
          <w:rtl w:val="true"/>
          <w:lang w:bidi="fa-IR"/>
        </w:rPr>
        <w:t>أ لم یقعوا فی أسانید البخاری و مسلم فی روایات أخری؟</w:t>
      </w:r>
    </w:p>
    <w:p>
      <w:pPr>
        <w:pStyle w:val="BookText"/>
        <w:rPr/>
      </w:pPr>
      <w:r>
        <w:rPr>
          <w:rFonts w:ascii="IRNazanin" w:hAnsi="IRNazanin" w:eastAsia="IRNazanin"/>
          <w:color w:val="111111"/>
          <w:sz w:val="28"/>
          <w:sz w:val="28"/>
          <w:szCs w:val="28"/>
          <w:rtl w:val="true"/>
          <w:lang w:bidi="fa-IR"/>
        </w:rPr>
        <w:t>و إذا حصل ذلک فلمَ لا یأتی البخاری بخبرهم فی المسح عن ابن عبّاس؟ مع أنّهم قد أتوا بأحادیث أخری تحتاج إلی تابع کخبر سلیمان بن بلال؟</w:t>
      </w:r>
    </w:p>
    <w:p>
      <w:pPr>
        <w:pStyle w:val="BookText"/>
        <w:rPr/>
      </w:pPr>
      <w:r>
        <w:rPr>
          <w:rFonts w:ascii="IRNazanin" w:hAnsi="IRNazanin" w:eastAsia="IRNazanin"/>
          <w:color w:val="111111"/>
          <w:sz w:val="28"/>
          <w:sz w:val="28"/>
          <w:szCs w:val="28"/>
          <w:rtl w:val="true"/>
          <w:lang w:bidi="fa-IR"/>
        </w:rPr>
        <w:t>و علیه ففی السند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جریج، و هو من المدوّنین، و قد کان أوّل من جمع الحدیث بمکّة المکرمة </w:t>
      </w:r>
      <w:r>
        <w:rPr>
          <w:rStyle w:val="FootnoteAnchor"/>
          <w:rtl w:val="true"/>
        </w:rPr>
        <w:footnoteReference w:id="372"/>
      </w:r>
      <w:r>
        <w:rPr>
          <w:rFonts w:ascii="IRNazanin" w:hAnsi="IRNazanin" w:eastAsia="IRNazanin"/>
          <w:color w:val="111111"/>
          <w:sz w:val="28"/>
          <w:sz w:val="28"/>
          <w:szCs w:val="28"/>
          <w:rtl w:val="true"/>
          <w:lang w:bidi="fa-IR"/>
        </w:rPr>
        <w:t xml:space="preserve">، کما ألّف کتباً عدّة حتّی أنّه لمّا قدم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حدیث ابن عبّاس ما لم یجمعه أحد، فلم یعطه شیئا </w:t>
      </w:r>
      <w:r>
        <w:rPr>
          <w:rStyle w:val="FootnoteAnchor"/>
          <w:rtl w:val="true"/>
        </w:rPr>
        <w:footnoteReference w:id="373"/>
      </w:r>
      <w:r>
        <w:rPr>
          <w:rFonts w:ascii="Amiri" w:hAnsi="Amiri" w:eastAsia="Amiri" w:cs="Amiri"/>
          <w:color w:val="111111"/>
          <w:sz w:val="28"/>
          <w:sz w:val="28"/>
          <w:szCs w:val="28"/>
          <w:rtl w:val="true"/>
          <w:lang w:bidi="ar-SA"/>
        </w:rPr>
        <w:t>، و قد کانت کُتُبه تحتلّ مکاناً رفیعاً عند المحدّثین، حتّی قال یحیی 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نسمّی کتب ابن جریج کتب الأمانة </w:t>
      </w:r>
      <w:r>
        <w:rPr>
          <w:rStyle w:val="FootnoteAnchor"/>
          <w:rtl w:val="true"/>
        </w:rPr>
        <w:footnoteReference w:id="374"/>
      </w:r>
      <w:r>
        <w:rPr>
          <w:rFonts w:ascii="IRNazanin" w:hAnsi="IRNazanin" w:eastAsia="IRNazanin"/>
          <w:color w:val="111111"/>
          <w:sz w:val="28"/>
          <w:sz w:val="28"/>
          <w:szCs w:val="28"/>
          <w:rtl w:val="true"/>
          <w:lang w:bidi="fa-IR"/>
        </w:rPr>
        <w:t>لصحة ما فیها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دینار، و قد مرّ الکلام عنه، و أنّه ما جلس عند ابن عبّاس و ما کتب عنه إلّا واقفاً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مولی ابن عبّاس، و هو من کبار تلامذة ابن عبّاس و المدوّنین عنه، و کان ابن عبّاس یعتنی به کثیراً، حتی 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عبّاس یجعل فی رجلی الکبل یعلّمنی القرآن و یعلّمنی السنة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عنده کتب، فقیل أنّه نزل علی عبد اللّه الأسوار بصنعاء، فعدا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عمرو بن أبی الأسوار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کتاب لعکرمة فنسخه، و جعل یسأل عکرمة، ففهم أنه کَتَبَهُ من کُتُبِهِ … </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و قد روی عن ابن عبّاس فی التفسیر </w:t>
      </w:r>
      <w:r>
        <w:rPr>
          <w:rStyle w:val="FootnoteAnchor"/>
          <w:rtl w:val="true"/>
        </w:rPr>
        <w:footnoteReference w:id="377"/>
      </w:r>
      <w:r>
        <w:rPr>
          <w:rFonts w:ascii="IRNazanin" w:hAnsi="IRNazanin" w:eastAsia="IRNazanin"/>
          <w:color w:val="111111"/>
          <w:sz w:val="28"/>
          <w:sz w:val="28"/>
          <w:szCs w:val="28"/>
          <w:rtl w:val="true"/>
          <w:lang w:bidi="fa-IR"/>
        </w:rPr>
        <w:t>، فتری جمیع هؤلاء من أصحاب المدونات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 xml:space="preserve">و هو عبد الرزاق، عن معمر، عن قتادة، عن جابر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عکرمة، عن ابن عبّاس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معمر بن راشد، و هذا قد کتب الأحادیث و صنّف الکتب، و عُدَّ من أوائل من جمع الحدیث بالیمن </w:t>
      </w:r>
      <w:r>
        <w:rPr>
          <w:rStyle w:val="FootnoteAnchor"/>
          <w:rtl w:val="true"/>
        </w:rPr>
        <w:footnoteReference w:id="378"/>
      </w:r>
      <w:r>
        <w:rPr>
          <w:rFonts w:ascii="IRNazanin" w:hAnsi="IRNazanin" w:eastAsia="IRNazanin"/>
          <w:color w:val="111111"/>
          <w:sz w:val="28"/>
          <w:sz w:val="28"/>
          <w:szCs w:val="28"/>
          <w:rtl w:val="true"/>
          <w:lang w:bidi="fa-IR"/>
        </w:rPr>
        <w:t>، قال الندیم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من الکتب کتاب المغازی </w:t>
      </w:r>
      <w:r>
        <w:rPr>
          <w:rStyle w:val="FootnoteAnchor"/>
          <w:rtl w:val="true"/>
        </w:rPr>
        <w:footnoteReference w:id="379"/>
      </w:r>
      <w:r>
        <w:rPr>
          <w:rFonts w:ascii="IRNazanin" w:hAnsi="IRNazanin" w:eastAsia="IRNazanin"/>
          <w:color w:val="111111"/>
          <w:sz w:val="28"/>
          <w:sz w:val="28"/>
          <w:szCs w:val="28"/>
          <w:rtl w:val="true"/>
          <w:lang w:bidi="fa-IR"/>
        </w:rPr>
        <w:t xml:space="preserve">، و آخر فی التفسیر، رواه عنه عبد الرزاق و ابن المبارک و آخرون، و کان له کتاب مشهور آخر باسم الجامع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عن هشام بن یوسف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مطرف بن مازن،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حدیث ابن جریج و معمر حتّی أسمعه منک، فأعطیته، فکتبها، ثمّ جعل یحدّث بها عن معمر نفسه عن ابن جریج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دعامة، و هو أحد الأعلام الذین کتبوا الأحادیث، و له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w:t>
      </w:r>
      <w:r>
        <w:rPr>
          <w:rStyle w:val="FootnoteAnchor"/>
          <w:rtl w:val="true"/>
        </w:rPr>
        <w:footnoteReference w:id="382"/>
      </w:r>
      <w:r>
        <w:rPr>
          <w:rFonts w:ascii="IRNazanin" w:hAnsi="IRNazanin" w:eastAsia="IRNazanin"/>
          <w:color w:val="111111"/>
          <w:sz w:val="28"/>
          <w:sz w:val="28"/>
          <w:szCs w:val="28"/>
          <w:rtl w:val="true"/>
          <w:lang w:bidi="fa-IR"/>
        </w:rPr>
        <w:t xml:space="preserve">و الناسخ و المنسوخ فی القرآن </w:t>
      </w:r>
      <w:r>
        <w:rPr>
          <w:rStyle w:val="FootnoteAnchor"/>
          <w:rtl w:val="true"/>
        </w:rPr>
        <w:footnoteReference w:id="383"/>
      </w:r>
      <w:r>
        <w:rPr>
          <w:rFonts w:ascii="IRNazanin" w:hAnsi="IRNazanin" w:eastAsia="IRNazanin"/>
          <w:color w:val="111111"/>
          <w:sz w:val="28"/>
          <w:sz w:val="28"/>
          <w:szCs w:val="28"/>
          <w:rtl w:val="true"/>
          <w:lang w:bidi="fa-IR"/>
        </w:rPr>
        <w:t xml:space="preserve">و عواشر القرآن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قال أبو هلال، قیل لقتادة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الخطّاب أ نکتب ما نسمع؟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یمنعک أحد أن تکتب؟ و قد أنبأَک اللطیف الخبیر أنّه قد کتب،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لٰا یَضِلُّ رَبِّی وَ لٰا یَنْسیٰ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أنظر إلی فم قتادة، فإذا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و إذا لم یقل لم أکتب </w:t>
      </w:r>
      <w:r>
        <w:rPr>
          <w:rStyle w:val="FootnoteAnchor"/>
          <w:rtl w:val="true"/>
        </w:rPr>
        <w:footnoteReference w:id="3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الصحیح، قال الرباب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ابن عبّاس عن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تسألونی و فیکم جابر بن زید </w:t>
      </w:r>
      <w:r>
        <w:rPr>
          <w:rStyle w:val="FootnoteAnchor"/>
          <w:rtl w:val="true"/>
        </w:rPr>
        <w:footnoteReference w:id="38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الحسن البصریّ إذا غزا أفتی الناسَ جابرُ بن زید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جاء عن تلامیذه أنهم یکتبون عنه؛ روی حماد بن زید، عن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لجابر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یکتبون عنک، ما یسمعون،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للّٰه یکتبون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عکرمة قد مر الکلام عنه، و ابن عبّاس من أئمّة المدوّنین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الثالث</w:t>
      </w:r>
    </w:p>
    <w:p>
      <w:pPr>
        <w:pStyle w:val="BookText"/>
        <w:rPr/>
      </w:pPr>
      <w:r>
        <w:rPr>
          <w:rFonts w:ascii="IRNazanin" w:hAnsi="IRNazanin" w:eastAsia="IRNazanin"/>
          <w:color w:val="111111"/>
          <w:sz w:val="28"/>
          <w:sz w:val="28"/>
          <w:szCs w:val="28"/>
          <w:rtl w:val="true"/>
          <w:lang w:bidi="fa-IR"/>
        </w:rPr>
        <w:t>و هو ما أخرجه عبد الرزاق عن معمر، عن عبد اللّه بن محمّد بن عقیل عن الربیع، أنّ رسول اللّٰه صلی الله علیه و آله غسل قدمیه ثلاثاً، ثمّ قالت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قد دخل …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تکلّمنا عن معمر، و بقی عبد اللّه بن محمّد بن عقیل، و هو من المدوّنین کذلک؛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أنطلق أنا و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الحنفیة إلی جابر بن عبد اللّه الأنصاری لنسأله عن سنن رسول اللّٰه صلی الله علیه و آله و عن صلاته، فنکتب عنه و نتعلّم منه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الإسناد الرابع</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ما أخرجه ابن أبی شیبة، حدّثنا ابن علیة، عن روح بن القاسم، عن عبد اللّه بن محمّد بن عقیل … </w:t>
      </w:r>
    </w:p>
    <w:p>
      <w:pPr>
        <w:pStyle w:val="BookText"/>
        <w:rPr/>
      </w:pPr>
      <w:r>
        <w:rPr>
          <w:rFonts w:ascii="IRNazanin" w:hAnsi="IRNazanin" w:eastAsia="IRNazanin"/>
          <w:color w:val="111111"/>
          <w:sz w:val="28"/>
          <w:sz w:val="28"/>
          <w:szCs w:val="28"/>
          <w:rtl w:val="true"/>
          <w:lang w:bidi="fa-IR"/>
        </w:rPr>
        <w:t xml:space="preserve">فیه ابن علیة، و هو إسماعیل بن إبراهیم الأسدی، و کان من الکَتَبة، له من المصنفات کتاب الطهارة، الصلاة، المناسک، التفسیر </w:t>
      </w:r>
      <w:r>
        <w:rPr>
          <w:rStyle w:val="FootnoteAnchor"/>
          <w:rtl w:val="true"/>
        </w:rPr>
        <w:footnoteReference w:id="390"/>
      </w:r>
      <w:r>
        <w:rPr>
          <w:rFonts w:ascii="IRNazanin" w:hAnsi="IRNazanin" w:eastAsia="IRNazanin"/>
          <w:color w:val="111111"/>
          <w:sz w:val="28"/>
          <w:sz w:val="28"/>
          <w:szCs w:val="28"/>
          <w:rtl w:val="true"/>
          <w:lang w:bidi="fa-IR"/>
        </w:rPr>
        <w:t xml:space="preserve">، و قد کتب عن أیوب السختیانی </w:t>
      </w:r>
      <w:r>
        <w:rPr>
          <w:rStyle w:val="FootnoteAnchor"/>
          <w:rtl w:val="true"/>
        </w:rPr>
        <w:footnoteReference w:id="391"/>
      </w:r>
      <w:r>
        <w:rPr>
          <w:rFonts w:ascii="IRNazanin" w:hAnsi="IRNazanin" w:eastAsia="IRNazanin"/>
          <w:color w:val="111111"/>
          <w:sz w:val="28"/>
          <w:sz w:val="28"/>
          <w:szCs w:val="28"/>
          <w:rtl w:val="true"/>
          <w:lang w:bidi="fa-IR"/>
        </w:rPr>
        <w:t xml:space="preserve">، و کتب عنه علی بن أبی هاشم بن الطبراخ </w:t>
      </w:r>
      <w:r>
        <w:rPr>
          <w:rStyle w:val="FootnoteAnchor"/>
          <w:rtl w:val="true"/>
        </w:rPr>
        <w:footnoteReference w:id="392"/>
      </w:r>
      <w:r>
        <w:rPr>
          <w:rFonts w:ascii="IRNazanin" w:hAnsi="IRNazanin" w:eastAsia="IRNazanin"/>
          <w:color w:val="111111"/>
          <w:sz w:val="28"/>
          <w:sz w:val="28"/>
          <w:szCs w:val="28"/>
          <w:rtl w:val="true"/>
          <w:lang w:bidi="fa-IR"/>
        </w:rPr>
        <w:t>، و قد مر الکلام عن عبد اللّه بن محمّد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الخامس</w:t>
      </w:r>
    </w:p>
    <w:p>
      <w:pPr>
        <w:pStyle w:val="BookText"/>
        <w:rPr/>
      </w:pPr>
      <w:r>
        <w:rPr>
          <w:rFonts w:ascii="IRNazanin" w:hAnsi="IRNazanin" w:eastAsia="IRNazanin"/>
          <w:color w:val="111111"/>
          <w:sz w:val="28"/>
          <w:sz w:val="28"/>
          <w:szCs w:val="28"/>
          <w:rtl w:val="true"/>
          <w:lang w:bidi="fa-IR"/>
        </w:rPr>
        <w:t>و هو ما رواه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عقیل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علی بن الحسین إلی الربیع بنت المعوذ …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 الإمام الکبیر، و قد بدأ بکتابة الحدیث و هو ابن خمس عشرة سنة، قال علی 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 ابن عیینة سنة ستّین و مائة بالکوفة، یملی علینا من صحیفة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حدیث ابن عیینة نحواً من سبعة آلاف و لم یکن له کتب </w:t>
      </w:r>
      <w:r>
        <w:rPr>
          <w:rStyle w:val="FootnoteAnchor"/>
          <w:rtl w:val="true"/>
        </w:rPr>
        <w:footnoteReference w:id="39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علق الدکتور الأعظمی علی کلام العجلی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ندری کیف </w:t>
      </w:r>
    </w:p>
    <w:p>
      <w:pPr>
        <w:pStyle w:val="BookText"/>
        <w:rPr/>
      </w:pPr>
      <w:r>
        <w:rPr>
          <w:rFonts w:ascii="IRNazanin" w:hAnsi="IRNazanin" w:eastAsia="IRNazanin"/>
          <w:color w:val="111111"/>
          <w:sz w:val="28"/>
          <w:sz w:val="28"/>
          <w:szCs w:val="28"/>
          <w:rtl w:val="true"/>
          <w:lang w:bidi="fa-IR"/>
        </w:rPr>
        <w:t>تُأَوّل، علماً بأنّنا رأینا أنّه أملی من صحیفةٍ و کتب لأیّوب، و کتب عن عمرو بن دینار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کتابته عن الزهری مشهورة معروفة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عیینة، قال لی زهیر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کتبک،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أحفظ من کتبی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من المؤلفات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Style w:val="FootnoteAnchor"/>
          <w:rtl w:val="true"/>
        </w:rPr>
        <w:footnoteReference w:id="397"/>
      </w:r>
      <w:r>
        <w:rPr>
          <w:rFonts w:ascii="IRNazanin" w:hAnsi="IRNazanin" w:eastAsia="IRNazanin"/>
          <w:color w:val="111111"/>
          <w:sz w:val="28"/>
          <w:sz w:val="28"/>
          <w:szCs w:val="28"/>
          <w:rtl w:val="true"/>
          <w:lang w:bidi="fa-IR"/>
        </w:rPr>
        <w:t xml:space="preserve">، روی عنه جمعٌ أحادیثَه المکتوبة، منهم الحمیدی صاحب المسند </w:t>
      </w:r>
      <w:r>
        <w:rPr>
          <w:rStyle w:val="FootnoteAnchor"/>
          <w:rtl w:val="true"/>
        </w:rPr>
        <w:footnoteReference w:id="3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و هو الإمام السجّاد، و قد کان من المدوّنین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أما الإسنادان السادس و السابع فهما اجترار لهذا الإسناد، لروایة سفیان بن عیینة الخبر عن عبد اللّه بن محمّد بن عقیل، و أنّ علی بن الحسین قد أرسله إلی الربیع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تری رجال هذه الأسانید أنهم کانوا أئمة حفّاظاً، و قد دونوا الحدیث فی کتبهم و فی جمیع الطبقات، و لا یهمنا وجود بعض المدوّنین بعد عصر التدوین الحکومیّ بینهم، فالقیمة فی وجود رجال کعلی بن الحسین، و عکرمة، و عمرو بن دینار، و عبد اللّه بن محمّد بن عقیل، و جابر بن زید، </w:t>
      </w:r>
    </w:p>
    <w:p>
      <w:pPr>
        <w:pStyle w:val="BookText"/>
        <w:rPr/>
      </w:pPr>
      <w:r>
        <w:rPr>
          <w:rFonts w:ascii="IRNazanin" w:hAnsi="IRNazanin" w:eastAsia="IRNazanin"/>
          <w:color w:val="111111"/>
          <w:sz w:val="28"/>
          <w:sz w:val="28"/>
          <w:szCs w:val="28"/>
          <w:rtl w:val="true"/>
          <w:lang w:bidi="fa-IR"/>
        </w:rPr>
        <w:t>بین هؤلاء، و کانوا قد دوّنوا الحدیث قبل عصر التدوین الحکومی، و لذلک تکون لمرویّاتهم قیمة أکثر من مرویات رواة الغسل، و لو عاودنا أسماء رواه الغسل عن ابن عبّاس لعرفت المائز بین الطریقین، و ذلک لعدم وجود مدونین قبل عصر التدوین الحکومی بینهم، فغالبهم لیسوا من أصحاب المدونات، و إن کان أحد منهم مدوِّناً فهو غالباً من المدوّنین بعد عصر التدوین الحکومی، فلا مزیة لنقلهم، لاحتمال تأثّره بمطامع الحکّام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رواة الغسل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سلمة الخزاعی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المدوّنین بعد عصر التدوین الحکومی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أسلم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یسار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أبی شیبة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بشر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سعد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الخلّال الحلوانی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هارون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منصور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عکرمة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مولی ابن عبّاس المدوّن لحدیثه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المدوّنین لکن لم یثبت الطریق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بن موسی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المدوّنین بعد عصر التدوین الحکومی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المدوّنین بعد عصر التدوین الحکومی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 بن أیوب الطالقانی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محمّد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فقد اتّضح أنّ الطرق المسحیّة عن ابن عبّاس هی أقوی سنداً و أنقی دلالةً، و قد رویت بطرق متعدّدة و فی جمیع الطبقات عن المدوّنین، بخلاف الغسلیّة التی لم یروها أحد من المدوّنین قبل عصر التدوین الحکومی، کما اتّضح لنا أنّ الحکومات کانت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لطمس معالم الوضوء المسحی عن ابن عباس، و لطمس فقهه التعبّدی بالکلّیة، لکنها باءت بالفشل، إذ دراسة الملابسات و نسبة الخبر لابن عباس کشفت حقیقة ما أراده الحکام و زیف ما بنوه من مجد سیاسی و فکری متزلزل، إذ أن جهود المتعبدین کانت و ما زالت مناراً ینیر درب الحقیقة، و هذا ما یؤکد أنّ استقرار الوضوء المسحیّ عن ابن عبّاس ثبت بجهود المدوّنین علی مرّ الأجیال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الآخر یؤکد امتداد نهج التعبد المحض فی العصور اللاحقة</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276_10232"/>
      <w:bookmarkStart w:id="162" w:name="pg1276_10232"/>
      <w:bookmarkEnd w:id="162"/>
    </w:p>
    <w:p>
      <w:pPr>
        <w:pStyle w:val="Heading2"/>
        <w:numPr>
          <w:ilvl w:val="1"/>
          <w:numId w:val="1"/>
        </w:numPr>
        <w:rPr/>
      </w:pPr>
      <w:bookmarkStart w:id="163" w:name="pg1276_10232"/>
      <w:bookmarkStart w:id="164" w:name="__RefHeading___Toc3231829_373438147"/>
      <w:bookmarkStart w:id="165" w:name="_Toc59"/>
      <w:bookmarkEnd w:id="163"/>
      <w:bookmarkEnd w:id="164"/>
      <w:r>
        <w:rPr>
          <w:rtl w:val="true"/>
        </w:rPr>
        <w:t>فهرس المصادر</w:t>
      </w:r>
      <w:bookmarkEnd w:id="165"/>
    </w:p>
    <w:p>
      <w:pPr>
        <w:pStyle w:val="BookText"/>
        <w:rPr/>
      </w:pPr>
      <w:r>
        <w:rPr>
          <w:rFonts w:ascii="IRNazanin" w:hAnsi="IRNazanin" w:eastAsia="IRNazanin"/>
          <w:color w:val="111111"/>
          <w:sz w:val="28"/>
          <w:sz w:val="28"/>
          <w:szCs w:val="28"/>
          <w:rtl w:val="true"/>
          <w:lang w:bidi="fa-IR"/>
        </w:rPr>
        <w:t>بعد القرآن الکریم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جلال الدین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البسملة و ما یتعلق بها من الأحکام و المعانی و اختلاف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للطبرستانی، محمد بن عمر بن الحسین، المعروف بالفخر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السید إبراهیم، مکتبة القرآن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للجصاص، أحمد بن علی الرازی،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الإحکام فی أُصول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للظاهری، علی بن أحمد بن سعید ابن حزم،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الساری لشرح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للقسطلانی، شهاب الدین، أحمد بن محمد، أبی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محمد بن محمد بن النعمان البغدادی،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w:t>
      </w:r>
    </w:p>
    <w:p>
      <w:pPr>
        <w:pStyle w:val="BookText"/>
        <w:rPr/>
      </w:pPr>
      <w:r>
        <w:rPr>
          <w:rFonts w:ascii="IRNazanin" w:hAnsi="IRNazanin" w:eastAsia="IRNazanin"/>
          <w:color w:val="111111"/>
          <w:sz w:val="28"/>
          <w:sz w:val="28"/>
          <w:szCs w:val="28"/>
          <w:rtl w:val="true"/>
          <w:lang w:bidi="fa-IR"/>
        </w:rPr>
        <w:t xml:space="preserve">البیت لإحیاء التراث،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النقاد إلی تیسیر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للصنعانی،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التراث العربی، بغداد،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طبعت مع رسالتین أُخریین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فیما اختلف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محمد بن الحسن،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دار الکتب الإسلامیة،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أحمد بن علی، أبی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السعادة، مصر،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الموقعین عن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قیم الجوزیة، محمد بن أبی بکر،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راجعه و قدم له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عبد الرءوف سعد، دار الجیل،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 بحبل اللّٰه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للقاسم بن محمد، الإمام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مطابع الجمعیة الملکیة، عمان، الأُردن،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للشافعی، محمد بن إدریس،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الدینوری،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الإملاء و الاستملا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للسمعانی، عبد الکریم بن </w:t>
      </w:r>
    </w:p>
    <w:p>
      <w:pPr>
        <w:pStyle w:val="BookText"/>
        <w:rPr/>
      </w:pPr>
      <w:r>
        <w:rPr>
          <w:rFonts w:ascii="IRNazanin" w:hAnsi="IRNazanin" w:eastAsia="IRNazanin"/>
          <w:color w:val="111111"/>
          <w:sz w:val="28"/>
          <w:sz w:val="28"/>
          <w:szCs w:val="28"/>
          <w:rtl w:val="true"/>
          <w:lang w:bidi="fa-IR"/>
        </w:rPr>
        <w:t xml:space="preserve">محمد،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 وائز وائلر، لیدن،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للسمعانی، عبد الکریم بن محمد،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البارودی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الخدمات و الأبحاث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الجنان،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الدمشقی، أبی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عبد الرحمن بن أبی بکر،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 الحمید،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السعادة، مصر،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شعبان الفسوی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مکتبة روان کشا الرقم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سعد أفندی الرقم </w:t>
      </w:r>
      <w:r>
        <w:rPr>
          <w:rFonts w:eastAsia="IRNazanin" w:cs="IRNazanin"/>
          <w:color w:val="111111"/>
          <w:sz w:val="28"/>
          <w:szCs w:val="28"/>
          <w:lang w:bidi="fa-IR"/>
        </w:rPr>
        <w:t>2391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محمد بن جریر،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دار التراث،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للنمیری البصری، زید بن عمر بن شبة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 محمد شلتوت، دار التراث، الدار الإسلامیة،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أبی یعقوب بن جعفر بن وهب بن واضح الکاتب 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علی بن الحسین ابن هبة اللّٰه الشافعی،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الأحوذی شرح جامع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للمبارکفوری، محمد بن عبد الرحمن 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التدوین فی أخبار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للقزوینی الرافعی، عبد الکریم بن محمد،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عزیز اللّٰه العطاردی، دار 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محمد بن احمد بن عثمان،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 عن النسخة القدیمة المحفوظة فی مکتبة الحرم المکی اوفسیت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للعیاشی، محمد بن مسعود بن عیاش السلمی، أبی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المکتبة العلمیة الاسلامیة، طهران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محمد بن الحسن،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الکتب </w:t>
      </w:r>
    </w:p>
    <w:p>
      <w:pPr>
        <w:pStyle w:val="BookText"/>
        <w:rPr/>
      </w:pPr>
      <w:r>
        <w:rPr>
          <w:rFonts w:ascii="IRNazanin" w:hAnsi="IRNazanin" w:eastAsia="IRNazanin"/>
          <w:color w:val="111111"/>
          <w:sz w:val="28"/>
          <w:sz w:val="28"/>
          <w:szCs w:val="28"/>
          <w:rtl w:val="true"/>
          <w:lang w:bidi="fa-IR"/>
        </w:rPr>
        <w:t xml:space="preserve">الإسلامیة،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مجلس دائرة المعارف العثمانیة، حیدرآباد، 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 الوصول إلی 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الربیع الشیبانی، عبد الرحمن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الفقی، المکتبة التجاریة الکبری، 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للقرطبی، محمد بن أحمد الأنصاری،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العلیم البرذونی، أعادت طبعه بالاوفسیت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بیان العلم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للنمیری، یوسف بن عبد اللّه بن عبد البر القرطبی، أب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المسانید و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إسماعیل بن عمر، أبی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وثق أُصوله و خرّج حدیثه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 المعطی أمین قلعجی، 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للرازی ابن أبی حاتم، عبد الرحمن بن محمد الحنظلی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اوفسیت عن طبعة مجلس دائرة المعارف العثمانیة حیدرآباد، الهند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الغنی عبد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قسم أُصول الدین بجامعة الأزهر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المعهد العالمی للفکر الإسلامی، واشنطن دار </w:t>
      </w:r>
    </w:p>
    <w:p>
      <w:pPr>
        <w:pStyle w:val="BookText"/>
        <w:rPr/>
      </w:pPr>
      <w:r>
        <w:rPr>
          <w:rFonts w:ascii="IRNazanin" w:hAnsi="IRNazanin" w:eastAsia="IRNazanin"/>
          <w:color w:val="111111"/>
          <w:sz w:val="28"/>
          <w:sz w:val="28"/>
          <w:szCs w:val="28"/>
          <w:rtl w:val="true"/>
          <w:lang w:bidi="fa-IR"/>
        </w:rPr>
        <w:t xml:space="preserve">القرآن الکریم،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 و طبقات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للأصفهانی، أحمد بن عبد اللّه، أبی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فی الحدیث النبوی و تاریخ تدوینه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للدکتور محمد مصطفی الأعظمی المکتب الإسلامی،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فی التفسیر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عبد الرحمن،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مکتبة آیة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للشافعی، محمد بن إدریس المطلبی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أسد اللّٰه إسماعیلیان،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حنیفة، النعمان بن محمد بن منصور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اصغر فیضی، دار المعارف، 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للبیهقی، أحمد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الدکتور عبد المعطی قلعجی، دار الکتب العلمیة،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للجوزی، أبی عبد اللّه بن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 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محمد المسعودی، دار الفکر،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ماجة القزوینی، محمد بن یزید،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للسجستانی، سلیمان بن الأشعث الأزدی، أبی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للترمذی، محمد بن عیسی بن سورة، أبی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دار الفکر،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للدارقطنی، علی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اللّه هاشم الیمانی المدنی، دار المحاسن للطباعة، القاهرة،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للدارمی، عبد اللّه بن عبد الرحمن التمیمی،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القاهرة،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البیهقی، للبیهقی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بن علی،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 الأساتذة،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للنسائی، أحمد بن شعیب، أبی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سلیمان البنداری، سید کسروی حسن، دار الکتب العلمیة،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للنسائی، أحمد بن شعیب، أبی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محمد بن أحمد بن عثمان،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 الأساتذة،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الطحاوی، أحمد بن محمد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زهری النجار، محمد سید جاد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عالم الکتب،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عبد الحمید بن هبة اللّٰه المعتزلی، أبی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محمد بن إسماعیل الجعفی،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الجیل، بیروت، اوفسیت عن طبعة 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للنیسابوری، مسلم بن الحجاج القشیری، أبی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محمد بن سعد، کاتب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إحسان عباس، دار صادر، بیروت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للعینی، محمود بن </w:t>
      </w:r>
    </w:p>
    <w:p>
      <w:pPr>
        <w:pStyle w:val="BookText"/>
        <w:rPr/>
      </w:pPr>
      <w:r>
        <w:rPr>
          <w:rFonts w:ascii="IRNazanin" w:hAnsi="IRNazanin" w:eastAsia="IRNazanin"/>
          <w:color w:val="111111"/>
          <w:sz w:val="28"/>
          <w:sz w:val="28"/>
          <w:szCs w:val="28"/>
          <w:rtl w:val="true"/>
          <w:lang w:bidi="fa-IR"/>
        </w:rPr>
        <w:t xml:space="preserve">أحمد، بدر الدین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للأمینی، الشیخ عبد الحسین احمد،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دار الکتاب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لشرح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و المتفقه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أحمد بن علی بن ثابت،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صادق بحر العلوم، المطبعة الحیدریة، النجف،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للإشبیلی، ابن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للکلینی، محمد بن یعقوب بن إسحاق الرازی،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الکتب الإسلامیة، طهران،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علی بن محمد،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ضعفاء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عدی الجرجانی، عبد اللّه بن علی،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الکفایة فی علم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أحمد بن علی،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عمر هاشم، دار الکتب العربیة، بیروت،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للهندی، علی المتقی بن حسام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 حیانی، و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للسرخسی، محمد بن احمد الحنفی،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للبستی، محمد بن حبّان، أبی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زائد، دار الوعی، حلب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للهیثمی، نور الدین علی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الکتاب العربی،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للنووی، محی الدین بن شرف، أبی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للراغب الأصفهانی، حسین بن محمد،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الحیدریة،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 طبعة 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علی بن أحمد بن سعید،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محمد شاکر، دار الآفاق الجدیدة، بیروت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 معادن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للمسعودی، علی بن الحسین </w:t>
      </w:r>
    </w:p>
    <w:p>
      <w:pPr>
        <w:pStyle w:val="BookText"/>
        <w:rPr/>
      </w:pPr>
      <w:r>
        <w:rPr>
          <w:rFonts w:ascii="IRNazanin" w:hAnsi="IRNazanin" w:eastAsia="IRNazanin"/>
          <w:color w:val="111111"/>
          <w:sz w:val="28"/>
          <w:sz w:val="28"/>
          <w:szCs w:val="28"/>
          <w:rtl w:val="true"/>
          <w:lang w:bidi="fa-IR"/>
        </w:rPr>
        <w:t xml:space="preserve">ابن علی،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فهارسها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أسعد داغر،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الهجرة،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النیسابوری، محمد بن عبد اللّه،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الکفر،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طبعة 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زید بن علی بن الحسین علی بن أبی طالب،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إسحاق البغدادی،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للحمیدی، عبد اللّه بن الزبیر،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الرحمن الأعظمی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علی 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للجوهری البغدادی، علی بن الجعد بن عبید،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حیدر،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نادر،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الرحمن الأعظمی، منشورات المجلس العلمی فی سملک، سورت، الهند طبع فی 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فی الأحادیث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شیبة، عبد اللّه بن محمد الکوفی العبسی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w:t>
      </w:r>
    </w:p>
    <w:p>
      <w:pPr>
        <w:pStyle w:val="BookText"/>
        <w:rPr/>
      </w:pPr>
      <w:r>
        <w:rPr>
          <w:rFonts w:ascii="IRNazanin" w:hAnsi="IRNazanin" w:eastAsia="IRNazanin"/>
          <w:color w:val="111111"/>
          <w:sz w:val="28"/>
          <w:sz w:val="28"/>
          <w:szCs w:val="28"/>
          <w:rtl w:val="true"/>
          <w:lang w:bidi="fa-IR"/>
        </w:rPr>
        <w:t xml:space="preserve">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قدامة الحنبلی، عبد 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فقه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محمد رواس قلعجی،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النفائس،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عبد الرحمن بن علی بن الجوزی القرشی، أبی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المکتبة السلفیة، المدینة المنورة،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الخلفاء العباسیین من أئمة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الحسین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 المساعد بجامعة 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قطری بن الفجاءة، الدوحة،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للفیروزآبادی، إبراهیم بن علی بن یوسف الشیرازی، أبی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محمد بن احمد بن عثمان،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النصائح الکافیة لمن یتولی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للعلوی، السید محمد بن عقیل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الجابری،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مطبعة </w:t>
      </w:r>
    </w:p>
    <w:p>
      <w:pPr>
        <w:pStyle w:val="BookText"/>
        <w:rPr/>
      </w:pPr>
      <w:r>
        <w:rPr>
          <w:rFonts w:ascii="IRNazanin" w:hAnsi="IRNazanin" w:eastAsia="IRNazanin"/>
          <w:color w:val="111111"/>
          <w:sz w:val="28"/>
          <w:sz w:val="28"/>
          <w:szCs w:val="28"/>
          <w:rtl w:val="true"/>
          <w:lang w:bidi="fa-IR"/>
        </w:rPr>
        <w:t xml:space="preserve">النعمان، 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الأوطار من أحادیث سید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للشوکانی، محمد بن علی الیمنی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العاملی، الشیخ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الوجه و الیدین من غرفة واحدة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مرتین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المجتبی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مسح الاذنین مع الرأس و ما یستدل به علی أنهما من الرأس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المجتبی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مسح الاذنین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وضوء النبی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للطیبی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معرفة علوم الحدیث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اختصار علوم الحدیث لابن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تقریب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فتح المغیث للعراقی و السخاوی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تدریب الراوی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ظفر الأمانی للّکنوی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 قواعد الحدیث للقاسمی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غیرهم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ذلک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الجرح و 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9224</w:t>
      </w:r>
      <w:r>
        <w:rPr>
          <w:rFonts w:ascii="IRNazanin" w:hAnsi="IRNazanin" w:eastAsia="IRNazanin"/>
          <w:b w:val="false"/>
          <w:b w:val="false"/>
          <w:bCs w:val="false"/>
          <w:i w:val="false"/>
          <w:i w:val="false"/>
          <w:iCs w:val="false"/>
          <w:color w:val="333333"/>
          <w:sz w:val="20"/>
          <w:sz w:val="20"/>
          <w:szCs w:val="20"/>
          <w:rtl w:val="true"/>
        </w:rPr>
        <w:t xml:space="preserve">، و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7938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و 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الدار قطنی فی العلل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المراسیل،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روایاته لتعرف ذلک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الساجی،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حکاه عیاش بن المغیرة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ترجمه الواسطی فی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ترجمة الخلّال الحلوانیّ فی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 المجهود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و الکنیف و هو کنایة عن عدم أخذهم به و جرحهم 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هامش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الدوری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المجروحین،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 تقریب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قاله الساجی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و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قاله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الضعفاء و المتروکین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لروح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المرویات المسحیة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 فیه عن ابن عبّاس المسح، و هو إسناد حسن کما فی زوائد ابن ماجة، فکیف یمکن الجمع بین النقلین عن ابن عبّاس، یا تری؟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عون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بذل المجهود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غلط من ابن الترکمانی، فان الّذی فی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مسح باسفل النعلین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المطبوع بهامش 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فی کنز العمال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ابی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السنن الکبری للبیهقی و مسند أحمد من طریق سفیان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فرض الرجلین الغسل و أن مسحهما لا یجزی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تاریخه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جواب ابن حجر عن جمیع التهم الموجهة لعکرمة فی 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الاثرم عن احمد، و فی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زرعة قریب منه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سیر اعلام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نحوه عن الشوکانی فی 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القاسمی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لابن العربی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للشوکانی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معالم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لابن جزی الکلبی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علیک فی الأسانید المسحیة عن ابن عبّاس و شهادة الربیع بأنّ مذهب ابن عبّاس هو المسح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الماران قبل قلیل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الماران قبل قلیل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روی له مسلم مقروناً بغیره ثمّ رجع و احتج به کما احتج به الباقون انظر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قُرابة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 هو مِلْ‌ءُ کفَّی المعتدل إذا ملأهما و مَدَّ یَدهُ بهما؛ و به سُمِّیَ 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الفیروزآبادی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صحیح البخاری الرهن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الشهادات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تاریخ أبی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مسند 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صحیح مسلم، الجهاد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الفسوی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تاریخ أبی زرعة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کما فی الدّراسات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ارشاد النقاد للصنعانی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ارشاد النقاد، للصنعانی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کعمران بن الحصین، انظر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شرح صحیح مسلم للنووی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المصادر السابقة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أحکام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الجامع لاحکام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المغنی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 المبسوط للسرخسی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المهذب فی فقه الشافعی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تحفة الاحوذی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المحلی، لابن حزم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جامع المسانید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محاضرات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مجمر سطع فی المتعة مجمر آل الزبیر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الروضة من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أحکام القرآن للقرطبی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تاریخ المدینة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21542</w:t>
      </w:r>
      <w:r>
        <w:rPr>
          <w:rFonts w:ascii="IRNazanin" w:hAnsi="IRNazanin" w:eastAsia="IRNazanin"/>
          <w:b w:val="false"/>
          <w:b w:val="false"/>
          <w:bCs w:val="false"/>
          <w:i w:val="false"/>
          <w:i w:val="false"/>
          <w:iCs w:val="false"/>
          <w:color w:val="333333"/>
          <w:sz w:val="20"/>
          <w:sz w:val="20"/>
          <w:szCs w:val="20"/>
          <w:rtl w:val="true"/>
        </w:rPr>
        <w:t>، و أخرجه النسائی فی کتاب قیام اللیل، باب قیام شهر رمضان عن عائشة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اخرجه مسلم فی کتاب صلاة المسافرین باب استحباب صلاة النافلة فی بیته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اخرجه أبو داود فی کتاب الصلاة، باب فضل التطوع فی البیت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تاریخ المدینة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فی شرح النهج لابن ابی الحدید ط قدیم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المرتضی، و فی مستطرفات السرائر مثله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انظر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ابی داود فی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الفتح الربانی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الدار قطنی و تاریخ اصبهان لابی نعیم و الطبرانی و تلخیص الخطیب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یفوتک أن حمران بن أبان کان یهودیّاً سُبی فی عین التمر، و کان اسمه طویدا بن أبی التمری، و کان من أخطر الیهود علی الإسلام و المسلمین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قد أخرج عن عائشة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النبیّ صلی الله علیه و آله نهی عن الصلاة حین تطلع الشمس حتی ترتفع و من حین تصوب حتی تغیب، و فی اسناده ابن لهیعة و هو ضعیف، انظر الفتح الربانی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النسائی المجتبی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الروض النضیر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مستدرک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للشیخ الأنصاری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فقه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کتب عمر بن عبد العزیز إلی أهل المصیصة أن اخلعوا الخفاف فی کلّ ثلاث، المصنف لابن ابی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أحکام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 و الحمیدی فی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عتبة عن یزید بن أبی زیاد،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علی و فی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عن ابن عبّاس فی زوائد الهیثمی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فی الاوسط، انظر الطبرانی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و جامع المسانید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الامام أحمد فی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اسناده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الهیثمی فی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هذا عن ابن عبّاس، و نسبه للطبرانی فی الأوسط، کما فی هامش جامع المسانید و السنن لابن کثیر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بشرح الروض، و 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وضوء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قول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الناس إلّا الغسل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للسمعانی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ارشاد الساری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هلال العسکری فی کتاب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جمع الناس فی صلاة الجنائز علی أربع تکبیرات عمر بن الخطاب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فی الطلاق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طلاق الثلاث، و الطبرانی ح </w:t>
      </w:r>
      <w:r>
        <w:rPr>
          <w:rFonts w:eastAsia="IRNazanin" w:cs="IRNazanin"/>
          <w:b w:val="false"/>
          <w:bCs w:val="false"/>
          <w:i w:val="false"/>
          <w:iCs w:val="false"/>
          <w:color w:val="333333"/>
          <w:sz w:val="20"/>
          <w:szCs w:val="20"/>
        </w:rPr>
        <w:t>10975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ح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المسانید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یعلی ح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اسناده صحح انظر جامع المسانید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احکام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کعائشة انظر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عمر، البدایة و 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عروة بن الزبیر انظر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رحلی،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محاضرة الاوائل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العیدین باب الخطبة بعد العید،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صلاة العیدین و النص عن الاول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المحاضرات للراغب، و قریب منه فی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التاریخیة کالطبری و الاخبار الطوال و أنساب الأشراف و المروج و غیرها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التاریخیة کالطبری و الاخبار الطوال و أنساب الأشراف و المروج و غیرها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التاریخیة کالطبری و الاخبار الطوال و أنساب الأشراف و المروج و غیرها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قول ابن عباس من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النّٰاس إلّا الغسل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قول أبی إسحاق فی المسح علی الخُفَّین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أدرکت النّٰاس یمسحون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فهذه کلّها تدلّ علی الاتّجاه الحکومی الذی کان یُسیِّر الناس طبق آرائه لا طبق کتاب اللّٰه و سنة نبیّه، و کما 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علی دین ملوکهم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البیهقی فی شعب الایمان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جامع المسانید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w:t>
      </w:r>
      <w:r>
        <w:rPr>
          <w:rFonts w:eastAsia="IRNazanin" w:cs="IRNazanin"/>
          <w:b w:val="false"/>
          <w:bCs w:val="false"/>
          <w:i w:val="false"/>
          <w:iCs w:val="false"/>
          <w:color w:val="333333"/>
          <w:sz w:val="20"/>
          <w:szCs w:val="20"/>
        </w:rPr>
        <w:t>10651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صحیح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البسملة، للفخر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تفسیر أبی الفتوح الرازی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مستدرک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البسملة، للفخر الرازی،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الإمام الحسن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المؤمن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الإحدی و الخمسین، و زیارة الأربعین، و التختّم فی الیمین، و تعفیر الجبین، و الجهر ببسم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فی شرح جامع الترمذی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البسملة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الحاکم فی مستدرکه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باب قسمة الخمس من أحکام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مسند الإمام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الفی‌ء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کلامه فی مسند احمد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فی صحیحه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أبو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و النسائی المجتبی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هو فی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التکبیر إذا قام من السجود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أحمد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الطبرانی </w:t>
      </w:r>
      <w:r>
        <w:rPr>
          <w:rFonts w:eastAsia="IRNazanin" w:cs="IRNazanin"/>
          <w:b w:val="false"/>
          <w:bCs w:val="false"/>
          <w:i w:val="false"/>
          <w:iCs w:val="false"/>
          <w:color w:val="333333"/>
          <w:sz w:val="20"/>
          <w:szCs w:val="20"/>
        </w:rPr>
        <w:t>11933</w:t>
      </w:r>
      <w:r>
        <w:rPr>
          <w:rFonts w:ascii="IRNazanin" w:hAnsi="IRNazanin" w:eastAsia="IRNazanin"/>
          <w:b w:val="false"/>
          <w:b w:val="false"/>
          <w:bCs w:val="false"/>
          <w:i w:val="false"/>
          <w:i w:val="false"/>
          <w:iCs w:val="false"/>
          <w:color w:val="333333"/>
          <w:sz w:val="20"/>
          <w:sz w:val="20"/>
          <w:szCs w:val="20"/>
          <w:rtl w:val="true"/>
        </w:rPr>
        <w:t xml:space="preserve">، و إسناده صحیح کما فی هامش جامع المسانید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فی الصلاة، باب رفع الیدین بین السجدتین تلقاء الوجه، و أبو داود فی باب افتتاح الصلاة، و رواه ابو یعلی فی مسنده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التدوین فی أخبار قزوین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نیل الاوطار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المسیب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نقص التکبیر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قرأ بسم اللّٰه الرّحمن الرّحیم سراً بالمدینة عمرو بن سعید بن العاص انظر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المجموع للنووی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6772</w:t>
      </w:r>
      <w:r>
        <w:rPr>
          <w:rFonts w:ascii="IRNazanin" w:hAnsi="IRNazanin" w:eastAsia="IRNazanin"/>
          <w:b w:val="false"/>
          <w:b w:val="false"/>
          <w:bCs w:val="false"/>
          <w:i w:val="false"/>
          <w:i w:val="false"/>
          <w:iCs w:val="false"/>
          <w:color w:val="333333"/>
          <w:sz w:val="20"/>
          <w:sz w:val="20"/>
          <w:szCs w:val="20"/>
          <w:rtl w:val="true"/>
        </w:rPr>
        <w:t xml:space="preserve">، سنن ابی دواد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إجماعی عند أهل البیت علیهم السلام، و قد روی عن الصادق علیه السلام کما فی 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و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کما روی عن زید بن علی کما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کما روی عن ابن عباس کما فی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الخبر و ما یلیه فی کتاب الأموال لأبی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المجتبی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عساکر فی تاریخه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فی 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الهیثمی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موثقون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المسانید و السنن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النسائی فی الأشربة باب ذکر الدلالة علی النهی للموصوف من الأوعیة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الامام أحمد فی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اسناده صحیح کما فی هامش جامع المسانید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یسقط من أُنوف الدوابّ، و العرب تقول لکلّ ذلیل حقیر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إلّا نَغَفَة؛ تُشبِه بهذه الدودة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عون المعبود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المسانید و السنن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أحمد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المسانید و السنن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للتستری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الخروج إلی المصلی بغیر منبر من کتاب العیدین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صلاة الفجر فی جماعة،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الإمام مالک للدکتور مصطفی الشکعة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ترتیب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الإمام الصادق علیه السلام و المذاهب الاربعة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فی الحج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اذا حاضت المرأة بعد ما افاضت و الطبرانی </w:t>
      </w:r>
      <w:r>
        <w:rPr>
          <w:rFonts w:eastAsia="IRNazanin" w:cs="IRNazanin"/>
          <w:b w:val="false"/>
          <w:bCs w:val="false"/>
          <w:i w:val="false"/>
          <w:iCs w:val="false"/>
          <w:color w:val="333333"/>
          <w:sz w:val="20"/>
          <w:szCs w:val="20"/>
        </w:rPr>
        <w:t>11867</w:t>
      </w:r>
      <w:r>
        <w:rPr>
          <w:rFonts w:ascii="IRNazanin" w:hAnsi="IRNazanin" w:eastAsia="IRNazanin"/>
          <w:b w:val="false"/>
          <w:b w:val="false"/>
          <w:bCs w:val="false"/>
          <w:i w:val="false"/>
          <w:i w:val="false"/>
          <w:iCs w:val="false"/>
          <w:color w:val="333333"/>
          <w:sz w:val="20"/>
          <w:sz w:val="20"/>
          <w:szCs w:val="20"/>
          <w:rtl w:val="true"/>
        </w:rPr>
        <w:t xml:space="preserve">، انظر جامع المسانید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المسانید و السنن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حاضت المرأة بعد ما أفاضت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ابو داود فی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اخذ الجزیة من المجوس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الخلفاء العباسیین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من ابواب صفات القاضی و خاتمه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الّتی رواها ابن کثیر فی تفسیره، و إنّما أخذنا بها و أعرضنا عن روایة الطحاوی، لأنّ المسح هو الثابت المحفوظ عن ابن عبّاس</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تفرد به الامام أحمد فی مسنده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xml:space="preserve">، و رواه الطبرانی </w:t>
      </w:r>
      <w:r>
        <w:rPr>
          <w:rFonts w:eastAsia="IRNazanin" w:cs="IRNazanin"/>
          <w:b w:val="false"/>
          <w:bCs w:val="false"/>
          <w:i w:val="false"/>
          <w:iCs w:val="false"/>
          <w:color w:val="333333"/>
          <w:sz w:val="20"/>
          <w:szCs w:val="20"/>
        </w:rPr>
        <w:t>11258</w:t>
      </w:r>
      <w:r>
        <w:rPr>
          <w:rFonts w:ascii="IRNazanin" w:hAnsi="IRNazanin" w:eastAsia="IRNazanin"/>
          <w:b w:val="false"/>
          <w:b w:val="false"/>
          <w:bCs w:val="false"/>
          <w:i w:val="false"/>
          <w:i w:val="false"/>
          <w:iCs w:val="false"/>
          <w:color w:val="333333"/>
          <w:sz w:val="20"/>
          <w:sz w:val="20"/>
          <w:szCs w:val="20"/>
          <w:rtl w:val="true"/>
        </w:rPr>
        <w:t xml:space="preserve">، و إسناد صحیح، کما فی هامش جامع المسانید و السنن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w:t>
      </w:r>
      <w:r>
        <w:rPr>
          <w:rFonts w:eastAsia="IRNazanin" w:cs="IRNazanin"/>
          <w:b w:val="false"/>
          <w:bCs w:val="false"/>
          <w:i w:val="false"/>
          <w:iCs w:val="false"/>
          <w:color w:val="333333"/>
          <w:sz w:val="20"/>
          <w:szCs w:val="20"/>
        </w:rPr>
        <w:t>11646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إسناده صحیح، کما فی هامش جامع المسانید و السنن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السابقة، و انظر جامع المسانید و السنن لابن کثیر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هریرة عن النبی صلی الله علیه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استیقظ أحدکم من نومه فلیغسل یده قبل أن یدخلها فی وضوئه فإنّ أحدکم لا یدری أین باتت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قال النووی فی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شرحه علی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 یدری أین باتت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سببه ما قاله الشافعی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أهل الحجاز کانوا یقتصرون علی الاستنجاء بالأحجار، و بلادهم حارّة، فإذا نام أحدهم عَرَق، فلا یأمن النائم أن تطوف یده علی المحل النجس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أنّ فی هذا الحدیث استحباب استعمال لفظ الکنایات فیما یُتحاشی من التصریح به … فلم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یده وقعت علی دُبُره أو ذَکره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فی الطبقات الکبری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مثناة کمثناة أهل الکتاب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البیهقی فی المدخل و ابن عبد البر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خلاصة الکلام أنّ منع الحکام من التحدیث و الکتابة و التدوین کان لأسباب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فضائل أهل البیت المفسّرة بإمامتهم و ولایتهم، و 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إحاطة الحکام بالأحکام و خوفهم من المدوّنات أن تکشف عن جهلهم، و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فتحهم لأنفسهم باب الرأی و الإفتاء طبق الضرورات و صیاغتهم للأحکام من المواقف، و المدوناتُ تحفظ الأحکام الصادرة عن رسول اللّٰه و ترفض فتح باب الرأی و الإفتاء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4604</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الإحکام لابن حزم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الکفایة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تاریخ دمشق لابن عساکر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 هامش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خیر الاشبیلی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أبی خیثمة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کما فی دراسات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التثبت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السلفیة، المستدرک للحاکم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علیه الذهبی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منکر لم یصح</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العلل لابن رجب کما فی 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هدی الساری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مسند علی 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الدراسات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طبعت هذه الصحیفة بتحقق الدکتور محمد حمید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 إلی الانجلیزیة کما فی هامش الدراسات للأعظمی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الفسوی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الاملاء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الجامع 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انظر ایضاً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عنه فی السنة قبل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فتی من قریش کما فی تاریخ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بیّنّا أنّ الذی جابهه رجل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قریش هم أصحاب السلطان و الرأی و الناهون عن التدوین و التحدیث، إذ صح عن عبد اللّه بن عمرو بن العاص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أکتب کلّ شی‌ء أسمعه من رسول اللّٰه أرید حفظه فنهتنی قریش … فأمسکتُ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فی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 نهاه عن الفتیا عثمان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تجیزوا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تکملوا قتلی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الذهبی فی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کثیر عن أبیه أیضاً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هذا الحدیث البخاری فی صحیحه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لکنّه بَتَرَهُ و لم یذکر نهی عثمان و لا الفتی القرشی الرقیب الجاسوس، بل ذکر قول أبی ذر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وضعتم الصمصامة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قال الحاکم 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و وافقه الذهبی فی ذیله علی الکتاب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عبادة بتحدید المکان و الزمان الدقة فی نقل الروایة، و أنّها کانت فی أواخر حیاة النبی صلی الله علیه و آله لکی لا یدّعی معاویة أنّ هذه الروایة منسوخة أو مخصّصة أو ما شاکل ذلک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المسانید و السنن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شرحه للنووی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التکبیر إذا قام من السجود، 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عبّاس، انظر مسند أحمد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و جامع الأسانید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 ذلک فی دراسات فی الحدیث النبوی،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 ذلک فی دراسات فی الحدیث النبوی،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 ذلک فی دراسات فی الحدیث النبوی،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 ذلک فی دراسات فی الحدیث النبوی،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صحیح البخاری کتاب الرهن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تاریخ أبی زرعة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مسند 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الفسوی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تاریخ أبی زرعة کما فی الدراسات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احتج به الجمیع إلّا مسلماً فقد قرنه بغیره ثمّ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الذهبی فی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ابن حجر فی مقدمة فتح الباری و ابن کثیر فی اختصار علوم الحدیث</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شرح علل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عن العلل و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الفسوی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تاریخ أبی زرعة کما فی الدراسات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الجرح و التعدیل،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الدراسات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أبو جعفر الطحاوی لعبد المجید محمود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کما فی الدراسات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المستطرفة للکتانی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الدراسات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منه نسخة بالظاهریة، انظر الدراسات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الدراسات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علی 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انظر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الدراسات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الکامل لابن عدی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الندیم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الدراسات،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الانساب للسمعانی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الحمیدی، و عنه فی الدراسات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منع تدوین الحدیث، لنا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image" Target="media/image2.jpeg"/><Relationship Id="rId164" Type="http://schemas.openxmlformats.org/officeDocument/2006/relationships/image" Target="media/image2.jpeg"/><Relationship Id="rId165" Type="http://schemas.openxmlformats.org/officeDocument/2006/relationships/footer" Target="footer158.xml"/><Relationship Id="rId166" Type="http://schemas.openxmlformats.org/officeDocument/2006/relationships/footnotes" Target="footnotes.xml"/><Relationship Id="rId167"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settings" Target="settings.xml"/><Relationship Id="rId1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161</Pages>
  <Words>31920</Words>
  <Characters>123701</Characters>
  <CharactersWithSpaces>154692</CharactersWithSpaces>
  <Paragraphs>1530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2026-08-16T13:20:41Z</dcterms:created>
  <dc:creator>ghaemiyeh.com</dc:creator>
  <dc:description/>
  <dc:language>en-US</dc:language>
  <cp:lastModifiedBy/>
  <dcterms:modified xsi:type="dcterms:W3CDTF">2026-08-16T16:50:46Z</dcterms:modified>
  <cp:revision>1</cp:revision>
  <dc:subject/>
  <dc:title>وضوء عبد الله بن عباس و دور السیاسة فی اختلاف النقل عنه</dc:title>
</cp:coreProperties>
</file>

<file path=docProps/custom.xml><?xml version="1.0" encoding="utf-8"?>
<Properties xmlns="http://schemas.openxmlformats.org/officeDocument/2006/custom-properties" xmlns:vt="http://schemas.openxmlformats.org/officeDocument/2006/docPropsVTypes"/>
</file>