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القبض فی الصلاه التکتف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78388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178390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178392_373438147">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3178394_373438147">
            <w:r>
              <w:rPr>
                <w:webHidden/>
                <w:rStyle w:val="IndexLink"/>
                <w:rtl w:val="true"/>
              </w:rPr>
              <w:t>تحریر محل النزاع</w:t>
            </w:r>
            <w:r>
              <w:rPr>
                <w:rStyle w:val="IndexLink"/>
                <w:rtl w:val="true"/>
              </w:rPr>
              <w:tab/>
            </w:r>
            <w:r>
              <w:rPr>
                <w:rStyle w:val="IndexLink"/>
              </w:rPr>
              <w:t>7</w:t>
            </w:r>
          </w:hyperlink>
        </w:p>
        <w:p>
          <w:pPr>
            <w:pStyle w:val="Contents2"/>
            <w:tabs>
              <w:tab w:val="clear" w:pos="8743"/>
              <w:tab w:val="right" w:pos="9026" w:leader="dot"/>
            </w:tabs>
            <w:rPr/>
          </w:pPr>
          <w:hyperlink w:anchor="__RefHeading___Toc3178396_373438147">
            <w:r>
              <w:rPr>
                <w:webHidden/>
                <w:rStyle w:val="IndexLink"/>
                <w:rtl w:val="true"/>
              </w:rPr>
              <w:t>التکتف فی الصلاة بدعة أم سُنّة ؟</w:t>
            </w:r>
            <w:r>
              <w:rPr>
                <w:rStyle w:val="IndexLink"/>
                <w:rtl w:val="true"/>
              </w:rPr>
              <w:tab/>
            </w:r>
            <w:r>
              <w:rPr>
                <w:rStyle w:val="IndexLink"/>
              </w:rPr>
              <w:t>9</w:t>
            </w:r>
          </w:hyperlink>
        </w:p>
        <w:p>
          <w:pPr>
            <w:pStyle w:val="Contents2"/>
            <w:tabs>
              <w:tab w:val="clear" w:pos="8743"/>
              <w:tab w:val="right" w:pos="9026" w:leader="dot"/>
            </w:tabs>
            <w:rPr/>
          </w:pPr>
          <w:hyperlink w:anchor="__RefHeading___Toc3178398_373438147">
            <w:r>
              <w:rPr>
                <w:webHidden/>
                <w:rStyle w:val="IndexLink"/>
                <w:rtl w:val="true"/>
              </w:rPr>
              <w:t>أدلة القائلین بمشروعیة التکتف فی الصلاة</w:t>
            </w:r>
            <w:r>
              <w:rPr>
                <w:rStyle w:val="IndexLink"/>
                <w:rtl w:val="true"/>
              </w:rPr>
              <w:tab/>
            </w:r>
            <w:r>
              <w:rPr>
                <w:rStyle w:val="IndexLink"/>
              </w:rPr>
              <w:t>10</w:t>
            </w:r>
          </w:hyperlink>
        </w:p>
        <w:p>
          <w:pPr>
            <w:pStyle w:val="Contents2"/>
            <w:tabs>
              <w:tab w:val="clear" w:pos="8743"/>
              <w:tab w:val="right" w:pos="9026" w:leader="dot"/>
            </w:tabs>
            <w:rPr/>
          </w:pPr>
          <w:hyperlink w:anchor="__RefHeading___Toc3178400_373438147">
            <w:r>
              <w:rPr>
                <w:webHidden/>
                <w:rStyle w:val="IndexLink"/>
                <w:rtl w:val="true"/>
              </w:rPr>
              <w:t>التکتّف من منظار أهل البیت علیهم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3178402_373438147">
            <w:r>
              <w:rPr>
                <w:webHidden/>
                <w:rStyle w:val="IndexLink"/>
                <w:rtl w:val="true"/>
              </w:rPr>
              <w:t>خلاصة البحث</w:t>
            </w:r>
            <w:r>
              <w:rPr>
                <w:rStyle w:val="IndexLink"/>
                <w:rtl w:val="true"/>
              </w:rPr>
              <w:tab/>
            </w:r>
            <w:r>
              <w:rPr>
                <w:rStyle w:val="IndexLink"/>
              </w:rPr>
              <w:t>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8_12096"/>
      <w:bookmarkStart w:id="1" w:name="pg1268_12096"/>
      <w:bookmarkEnd w:id="1"/>
    </w:p>
    <w:p>
      <w:pPr>
        <w:pStyle w:val="Heading2"/>
        <w:numPr>
          <w:ilvl w:val="1"/>
          <w:numId w:val="1"/>
        </w:numPr>
        <w:rPr/>
      </w:pPr>
      <w:bookmarkStart w:id="2" w:name="pg1268_12096"/>
      <w:bookmarkStart w:id="3" w:name="__RefHeading___Toc3178388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فی‌الصلاه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التکتف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لجنه‌البحوث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المجمع‌العالمی لاهل‌البیت،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رحاب اهل‌البیت؛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Takattof (Sunnite prayer)</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Salat -- *Sunnites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Salat -- Hadiths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Ahl al-Bayt World Assembly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lang w:bidi="fa-IR"/>
        </w:rPr>
        <w:t>/</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۳۳۷۵۳۰۶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78390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القبض فی‌الصلاه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التکتف</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لجنه‌البحوث 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7" w:name="pg1268_12123"/>
    </w:p>
    <w:p>
      <w:pPr>
        <w:pStyle w:val="Heading2"/>
        <w:numPr>
          <w:ilvl w:val="1"/>
          <w:numId w:val="1"/>
        </w:numPr>
        <w:rPr/>
      </w:pPr>
      <w:bookmarkStart w:id="8" w:name="__RefHeading___Toc3178392_373438147"/>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 xml:space="preserve">من جملة ما وقع الخلاف فیه بین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المذاهب الاُخری مسألة التکتّف فی الصلاة، و قد تذکر بعناوین اخری، کالتکفیر و القبض، و کلها تشیر الی معنی واحد،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المصلّی یده الیمنی علی الید الیسری، فوق السرّة أو تحتها فی حال الصلاة</w:t>
      </w:r>
      <w:r>
        <w:rPr>
          <w:rFonts w:eastAsia="IRNazanin" w:cs="IRNazanin"/>
          <w:color w:val="111111"/>
          <w:sz w:val="28"/>
          <w:szCs w:val="28"/>
          <w:rtl w:val="true"/>
          <w:lang w:bidi="fa-IR"/>
        </w:rPr>
        <w:t>.</w:t>
      </w:r>
    </w:p>
    <w:p>
      <w:pPr>
        <w:pStyle w:val="Heading2"/>
        <w:numPr>
          <w:ilvl w:val="1"/>
          <w:numId w:val="1"/>
        </w:numPr>
        <w:rPr/>
      </w:pPr>
      <w:bookmarkStart w:id="10" w:name="__RefHeading___Toc3178394_373438147"/>
      <w:bookmarkStart w:id="11" w:name="_Toc4"/>
      <w:bookmarkEnd w:id="10"/>
      <w:r>
        <w:rPr>
          <w:rtl w:val="true"/>
        </w:rPr>
        <w:t>تحریر محل النزاع</w:t>
      </w:r>
      <w:bookmarkEnd w:id="11"/>
    </w:p>
    <w:p>
      <w:pPr>
        <w:pStyle w:val="BookText"/>
        <w:rPr/>
      </w:pPr>
      <w:r>
        <w:rPr>
          <w:rFonts w:ascii="IRNazanin" w:hAnsi="IRNazanin" w:eastAsia="IRNazanin"/>
          <w:color w:val="111111"/>
          <w:sz w:val="28"/>
          <w:sz w:val="28"/>
          <w:szCs w:val="28"/>
          <w:rtl w:val="true"/>
          <w:lang w:bidi="fa-IR"/>
        </w:rPr>
        <w:t>و لقد أجمع المسلمون بشتی مذاهبهم علی عدم وجوب التکتف فی الصلاة ثمّ دار الخلاف فیه بین المذاهب بعد نفی الوجوب علی عدة آراء هی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الاستحباب مطلقاً، فی الصلاة الواجبة و المستحبة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الحنفیة و الشافعیة و الحنابلة، و ذکر النووی أن أبا هریرة و عائشة و آخرین من الصحابة و عدداً من التابعین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و النخعی و أبو مجلد، و عدداً من الفقهاء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و إسحاق و أبو ثور و داود و جمهور العلماء علی هذا القول</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الجواز فی الصلاة المستحبة، و الکراهة فی الصلاة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هذا الرأی ابن رشد القرطبی عن إمامه مالک</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الحکم روی عن مالک الوضع، فیما روی ابن القاسم عنه الإرسال، و هو الأشهر</w:t>
      </w:r>
      <w:r>
        <w:rPr>
          <w:rStyle w:val="FootnoteAnchor"/>
          <w:rtl w:val="true"/>
        </w:rPr>
        <w:footnoteReference w:id="4"/>
      </w:r>
      <w:r>
        <w:rPr>
          <w:rFonts w:ascii="IRNazanin" w:hAnsi="IRNazanin" w:eastAsia="IRNazanin"/>
          <w:color w:val="111111"/>
          <w:sz w:val="28"/>
          <w:sz w:val="28"/>
          <w:szCs w:val="28"/>
          <w:rtl w:val="true"/>
          <w:lang w:bidi="fa-IR"/>
        </w:rPr>
        <w:t>، و نقل السید مرتضی عن مالک و اللیث بن سعد أنهما یریان القبض لأجل طول القیام فی النافلة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التخییر بین الوضع و الإرسال، رواه النووی عن الأوزاعی</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الحرمة و المبطلیة للصلاة و هو رأی الإمامیة المشهور فی المسألة، و ادعی السید المرتضی الاجماع علیه</w:t>
      </w:r>
      <w:r>
        <w:rPr>
          <w:rStyle w:val="FootnoteAnchor"/>
          <w:rtl w:val="true"/>
        </w:rPr>
        <w:footnoteReference w:id="7"/>
      </w:r>
      <w:r>
        <w:rPr>
          <w:rFonts w:ascii="IRNazanin" w:hAnsi="IRNazanin" w:eastAsia="IRNazanin"/>
          <w:color w:val="111111"/>
          <w:sz w:val="28"/>
          <w:sz w:val="28"/>
          <w:szCs w:val="28"/>
          <w:rtl w:val="true"/>
          <w:lang w:bidi="fa-IR"/>
        </w:rPr>
        <w:t>، و نقل النووی فی المجموع أن عبد الله بن الزبیر و الحسن البصری و النخعی و ابن سیرین کانوا یرون الإرسال و یمنعون التکتف</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12" w:name="pg1268_12128"/>
    </w:p>
    <w:p>
      <w:pPr>
        <w:pStyle w:val="BookText"/>
        <w:rPr/>
      </w:pPr>
      <w:bookmarkEnd w:id="12"/>
      <w:r>
        <w:rPr>
          <w:rFonts w:ascii="IRNazanin" w:hAnsi="IRNazanin" w:eastAsia="IRNazanin"/>
          <w:color w:val="111111"/>
          <w:sz w:val="28"/>
          <w:sz w:val="28"/>
          <w:szCs w:val="28"/>
          <w:rtl w:val="true"/>
          <w:lang w:bidi="fa-IR"/>
        </w:rPr>
        <w:t>و الآراء الثلاثة الاُولی یمکننا أن نعتبرها وجوهاً للجواز بالمعنی الأعم من الکراهة و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مسألتنا دائرة بین قولین أساسیین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و الحرمة، فإذا انتفت الحرمة و ثبت الجواز أمکننا الانتقال بعد ذلک الی البحث فی وجوه الجواز و ما یتفرع علیها من القول بالکراهة و الاستحباب و التخییر، و إذا انتفی الجواز و ثبتت الحرمة لم یبق وجه للقول بالاستحباب و التخییر و انتفت الحاجة الی البحث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فالمفتاح الأساس للبحث فی هذه المسألة هو 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الأساس فی کون الشیء فی العبادة جائزاً أو حراماً؟ و هل التکتف فی الصلاة ینطوی علی سبب للتحریم أم لا؟</w:t>
      </w:r>
    </w:p>
    <w:p>
      <w:pPr>
        <w:pStyle w:val="Heading2"/>
        <w:numPr>
          <w:ilvl w:val="1"/>
          <w:numId w:val="1"/>
        </w:numPr>
        <w:rPr/>
      </w:pPr>
      <w:bookmarkStart w:id="13" w:name="__RefHeading___Toc3178396_373438147"/>
      <w:bookmarkStart w:id="14" w:name="_Toc5"/>
      <w:bookmarkEnd w:id="13"/>
      <w:r>
        <w:rPr>
          <w:rtl w:val="true"/>
        </w:rPr>
        <w:t>التکتف فی الصلاة بدعة أم سُنّة ؟</w:t>
      </w:r>
      <w:bookmarkEnd w:id="1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اتفق الفقهاء من مختلف المذاهب الإسلامیة علی أن العبادات توقیفیة لا یتم إثبات شیء منها إلاّ بدلیل من الکتاب و السنّة، فإذا تم الدلیل القرآنی أو النبوی علی جزئیة جزء فی عبادة من العبادات فهو، و إلاّ کان إدخال ذلک الجزء فی العبادة و إتیانه بقصد التقرب علی أنه جزء حراماً قطعیاً</w:t>
      </w:r>
      <w:bookmarkStart w:id="15" w:name="pg1268_12131"/>
    </w:p>
    <w:p>
      <w:pPr>
        <w:pStyle w:val="BookText"/>
        <w:rPr/>
      </w:pPr>
      <w:bookmarkEnd w:id="15"/>
      <w:r>
        <w:rPr>
          <w:rFonts w:ascii="IRNazanin" w:hAnsi="IRNazanin" w:eastAsia="IRNazanin"/>
          <w:color w:val="111111"/>
          <w:sz w:val="28"/>
          <w:sz w:val="28"/>
          <w:szCs w:val="28"/>
          <w:rtl w:val="true"/>
          <w:lang w:bidi="fa-IR"/>
        </w:rPr>
        <w:t>عند جمیع فقهاء المسلمین، لصدق البدعة علیه، و کونه حینئذ من الافتاء بغیر ما أنزل الله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هنا یدور بین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ینفی وجود دلیل شرعی علی التکتف، و یثبت بذلک کونه بدعة و تشریع محرّم، و آخر یحاول أن یثبت وجود دلیل شرعی علیه، بمعنی أن القائل بالحرمة قائل بکون التکتف بدعة و تشریع محرّم، و القائل بجوازه أو استحبابه قائل بکونه سُنّة 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ففی مناقشتنا لهذه المسألة لا بد و أن نستعرض أدلة القائلین بالجواز و الاستحباب، ثمّ ننظر هل أنّها أدلة حقیقیة تعود الی الکتاب و السنّة أم لا؟</w:t>
      </w:r>
      <w:r>
        <w:rPr>
          <w:rFonts w:eastAsia="IRNazanin" w:cs="IRNazanin"/>
          <w:color w:val="111111"/>
          <w:sz w:val="28"/>
          <w:szCs w:val="28"/>
          <w:rtl w:val="true"/>
          <w:lang w:bidi="fa-IR"/>
        </w:rPr>
        <w:t>!</w:t>
      </w:r>
    </w:p>
    <w:p>
      <w:pPr>
        <w:pStyle w:val="Heading2"/>
        <w:numPr>
          <w:ilvl w:val="1"/>
          <w:numId w:val="1"/>
        </w:numPr>
        <w:rPr/>
      </w:pPr>
      <w:bookmarkStart w:id="16" w:name="__RefHeading___Toc3178398_373438147"/>
      <w:bookmarkStart w:id="17" w:name="_Toc6"/>
      <w:bookmarkEnd w:id="16"/>
      <w:r>
        <w:rPr>
          <w:rtl w:val="true"/>
        </w:rPr>
        <w:t>أدلة القائلین بمشروعیة التکتف فی الصلاة</w:t>
      </w:r>
      <w:bookmarkEnd w:id="17"/>
    </w:p>
    <w:p>
      <w:pPr>
        <w:pStyle w:val="BookText"/>
        <w:rPr/>
      </w:pPr>
      <w:r>
        <w:rPr>
          <w:rFonts w:ascii="IRNazanin" w:hAnsi="IRNazanin" w:eastAsia="IRNazanin"/>
          <w:color w:val="111111"/>
          <w:sz w:val="28"/>
          <w:sz w:val="28"/>
          <w:szCs w:val="28"/>
          <w:rtl w:val="true"/>
          <w:lang w:bidi="fa-IR"/>
        </w:rPr>
        <w:t>استدلّ القائلون بمشروعیة التکتف و استحبابه فی الصلاة بعدّة روایات، و ببعض الوجوه الاستحسانیة، کقول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وضع الید علی الید أسلم له من العبث، و أحسن فی التواضع و التضرّع</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إلقاء نظرة علی ما استدلوا به من تلک الروایات و هذه الوجوه بالنحو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أهم ما استدلوا به من الروایات ثلاث روایات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سهل بن سعد المروی فی صحیح البخاری، و حدیث وائل ابن حجر المروی فی صحیح مسلم و الذی أخرجه البیهقی فی ثلاثة أسانید، و حدیث عبد الله بن مسعود المروی فی سنن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یلی نصّ کل حدیث منها مع ما أورد علیه من الملاحظات النقدیة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حدیث سهل بن سعد</w:t>
      </w:r>
    </w:p>
    <w:p>
      <w:pPr>
        <w:pStyle w:val="BookText"/>
        <w:rPr/>
      </w:pPr>
      <w:r>
        <w:rPr>
          <w:rFonts w:ascii="IRNazanin" w:hAnsi="IRNazanin" w:eastAsia="IRNazanin"/>
          <w:color w:val="111111"/>
          <w:sz w:val="28"/>
          <w:sz w:val="28"/>
          <w:szCs w:val="28"/>
          <w:rtl w:val="true"/>
          <w:lang w:bidi="fa-IR"/>
        </w:rPr>
        <w:t>روی البخاری عن ابن حازم، 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یُؤمرون أن یضع الرجل الید الیمنی علی ذراعه الیسری فی الصلاة، قال أبو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أعلمه إلاّ یَنمی ذلک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إسماعیل</w:t>
      </w:r>
      <w:r>
        <w:rPr>
          <w:rStyle w:val="FootnoteAnchor"/>
          <w:rtl w:val="true"/>
        </w:rPr>
        <w:footnoteReference w:id="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یُنمی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الکلام فی دلالة هذا الحدیث علی المطلوب، فالراوی یقول فی أول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الناس یؤمرون، تُری من هو الآمر؟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الصحابة؟ یجیب ابن حجر علی هذا السؤال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قول الصحابی کنا نؤمر بکذا یصرف بظاهره الی من له الأمر و 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الصحابی فی مقام تعریف الشرع فیحمل علی من صدر عنه الشرع، و مثله قول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نؤمر بقضاء الصوم، فإنه محمول علی أن الآمر بذلک 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و هذا هو رأی جمهور علمائهم کما نصّ علیه السیوطی فی تدریب الراوی</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التفسیر مجازفة لا تخفی علی اللبیب، خاصة عند ما یجری تطبیقه علی کل الحالات من کل الصحابة، فکیف یتأتی لنا إثبات أن قول الصحابی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نؤمر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النبی هو الآمر بذلک؟ فهذا قول مجمل، و لیس هناک ما یدل علی أن الصحابی قد جاء به لحکایة أوامر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یقصد به حکایة افتاءات سائر الصحابة له</w:t>
      </w:r>
    </w:p>
    <w:p>
      <w:pPr>
        <w:pStyle w:val="BookText"/>
        <w:rPr/>
      </w:pPr>
      <w:r>
        <w:rPr>
          <w:rFonts w:ascii="IRNazanin" w:hAnsi="IRNazanin" w:eastAsia="IRNazanin"/>
          <w:color w:val="111111"/>
          <w:sz w:val="28"/>
          <w:sz w:val="28"/>
          <w:szCs w:val="28"/>
          <w:rtl w:val="true"/>
          <w:lang w:bidi="fa-IR"/>
        </w:rPr>
        <w:t>فی امور لم یقف علیها هذا الصحابی فیراجع سائر الصحابة فیها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 کفتوی منهم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 الصحابی فی مقام بیان الشرع و تعریفه یستلزم نسبة هذه الأوامر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فإن الصحابی غرضه بیان الشرع ببیان الأوامر النبویة المباشرة و أوامر الصحابة الناشئة عن فهمهم لسُنّة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مرویاتهم عنه، و قول الصحابی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نؤمر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دلالة فی حکایة أوامر الصحابة من حکایة أوامر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الصحابی یفتخر و یشعر بشرف النسبة الی الرسول حینما یصرح بأوامر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وجهها الیه، فلو کان یرید حکایة أوامر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الأفضل بالنسبة الیه أن یصرّح بذلک و لا یأتی بکلام مجمل، و ردّ السیوطی فی تدریب الراوی علی من 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یقل الصحابی فی هذه الموارد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بأنهم أی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ترکوا الجزم بذلک تورعاً و احتیاطاً</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ردّه هذا ینفع السائل و لا ینفع السیوطی نفسه، فإن الصحابی فی هذه الموارد إنّما تورع عن نقل النصّ و لم</w:t>
      </w:r>
    </w:p>
    <w:p>
      <w:pPr>
        <w:pStyle w:val="BookText"/>
        <w:rPr/>
      </w:pPr>
      <w:r>
        <w:rPr>
          <w:rFonts w:ascii="IRNazanin" w:hAnsi="IRNazanin" w:eastAsia="IRNazanin"/>
          <w:color w:val="111111"/>
          <w:sz w:val="28"/>
          <w:sz w:val="28"/>
          <w:szCs w:val="28"/>
          <w:rtl w:val="true"/>
          <w:lang w:bidi="fa-IR"/>
        </w:rPr>
        <w:t xml:space="preserve">یتورّع عن الجزم بالحکم، فإذا کان جازماً بأن هذا الحکم قد قاله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بإمکانه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بکذا و لا یذکر نص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کم من حدیث فی الکتب الستة جاء بهذه الصیاغة، فإعراض الصحابی عن 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الأوامر یدل علی وجود نکتة دفعته لذلک، و هو یشهد لصدورها عن غیر النبی أکثر مما یشهد لصدورها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أقل من الاجمال فی ذلک، و مع ثبوت هذا الاجمال لا یجوز لنا نسبة هذه الأوامر الی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النتیجة الفقهیة المترتبة علی ذلک أن أحادیث الأوامر لا یصح الاحتجاج بها کأدلة برأسها، و إنّما یصح الاستشهاد و الاستئناس بها فی تأیید أدلّة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ناحیة عامة، و من ناحیة اخری خاصة بهذا الحدیث نجد فیه شاهداً اضافیاً یشهد لعدم صدور هذا الأمر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أبی حازم فی ذیل ذلک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أعلمه إلاّ ینمی ذلک الی النبی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کلام أبی حازم هذا یفید أن حدیث سهل بن سعد فی نفسه لا یثبت کون الأمر المذکور فیه صادراً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یکون صادراً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صادراً عن غیره،</w:t>
      </w:r>
    </w:p>
    <w:p>
      <w:pPr>
        <w:pStyle w:val="BookText"/>
        <w:rPr/>
      </w:pPr>
      <w:r>
        <w:rPr>
          <w:rFonts w:ascii="IRNazanin" w:hAnsi="IRNazanin" w:eastAsia="IRNazanin"/>
          <w:color w:val="111111"/>
          <w:sz w:val="28"/>
          <w:sz w:val="28"/>
          <w:szCs w:val="28"/>
          <w:rtl w:val="true"/>
          <w:lang w:bidi="fa-IR"/>
        </w:rPr>
        <w:t xml:space="preserve">و لکی یقطع هذا التردید احتاج أبو حازم الی هذا الذیل لیبین قناعته الشخصیة بأن غرض سهل بن سعد من هذا الحدیث نسبة الأمر المذکور فیه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یغلق احتمال صدوره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یؤکد أن الأصل فی أحادیث الأوامر انها مجملة، و ان نسبة هذه الأوامر الی النبی تحتاج الی دلیل، و أبو حازم لم یبین دلیله فیما ذهب الیه، فکلامه حجة علی نفسه، و لا یصح أن یکون حجة لغیره فی اثبات ذلک، فلا یصح الاحتجاج بحدیث سهل بن سعد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حدیث وائل بن حجر</w:t>
      </w:r>
    </w:p>
    <w:p>
      <w:pPr>
        <w:pStyle w:val="BookText"/>
        <w:rPr/>
      </w:pPr>
      <w:r>
        <w:rPr>
          <w:rFonts w:ascii="IRNazanin" w:hAnsi="IRNazanin" w:eastAsia="IRNazanin"/>
          <w:color w:val="111111"/>
          <w:sz w:val="28"/>
          <w:sz w:val="28"/>
          <w:szCs w:val="28"/>
          <w:rtl w:val="true"/>
          <w:lang w:bidi="fa-IR"/>
        </w:rPr>
        <w:t>و قد روی هذا الحدیث بصور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مسلم، عن وائل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النبی رفع یدیه، حین دخل فی الصلاة کبّر، ثمّ التحف بثوبه، ثمّ وضع یده الیمنی علی الیسری، فلما أراد أن یرکع أخرج یدیه من الثوب، ثمّ رفعهما، ثمّ کبّر فرکع</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الحدیث یحکی سنة فعلیة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الفعلیة مجملة لا یتمیز فیها الوجوب عن الاستحباب و الإباحة، و لا یتمیز فیها الاختیار عن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شواهد تفید أن عمل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ربّما کان لأجل غرض آخر غیر حکایة الأمر الشرعی، فالراوی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التحف بثوبه ثمّ وضع یده الیمنی علی الیسری، فلعلّ عمل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لأجل الاحتفاظ بالثوب و الحیلولة دون وقوعه، و یشهد لذلک أیضاً، أن الراوی أضاف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أراد أن یرکع أخرج یدیه من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یعنی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اعتنی بیدیه عنایة خاصة حتی أدخلهما فی الثوب و لما أراد الرکوع أخرجهما منه، فلعلّه کان فی مرض، فوضع یده علی الاُخری لیحتفظ بالرداء من التزلزل، و أدخل یدیه فیه تحفظاً علیهما من البرد و مع وجود مثل هذه الشواهد التی من شأنها أن تصرف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حکایة حالة طبیعیة الی حکایة حالة اضطراریة لا یمکننا الجزم بدلالة الحدیث علی سنّة نبویة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أقل من اجمال الحدیث</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الحدیث نفسه عن وائل بن حجر فی مصادر اخری مثل سنن البیهقی</w:t>
      </w:r>
      <w:r>
        <w:rPr>
          <w:rStyle w:val="FootnoteAnchor"/>
          <w:rtl w:val="true"/>
        </w:rPr>
        <w:footnoteReference w:id="16"/>
      </w:r>
      <w:r>
        <w:rPr>
          <w:rFonts w:ascii="IRNazanin" w:hAnsi="IRNazanin" w:eastAsia="IRNazanin"/>
          <w:color w:val="111111"/>
          <w:sz w:val="28"/>
          <w:sz w:val="28"/>
          <w:szCs w:val="28"/>
          <w:rtl w:val="true"/>
          <w:lang w:bidi="fa-IR"/>
        </w:rPr>
        <w:t>بدون هذه الشواهد، و لکن وجود هذه الشواهد السلبیة فی متن من متون الحدیث یرفع الاطمئنان عن باقی المتون، فربما سقطت من لسان الرواة فی بقیة الأسانید، هذا إضافة الی ما فی أسانید الحدیث من مناقشات مذکورة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حدیث عبد الله بن مسعود</w:t>
      </w:r>
    </w:p>
    <w:p>
      <w:pPr>
        <w:pStyle w:val="BookText"/>
        <w:rPr/>
      </w:pPr>
      <w:r>
        <w:rPr>
          <w:rFonts w:ascii="IRNazanin" w:hAnsi="IRNazanin" w:eastAsia="IRNazanin"/>
          <w:color w:val="111111"/>
          <w:sz w:val="28"/>
          <w:sz w:val="28"/>
          <w:szCs w:val="28"/>
          <w:rtl w:val="true"/>
          <w:lang w:bidi="fa-IR"/>
        </w:rPr>
        <w:t xml:space="preserve">روی البیهقی مسنداً عن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یصلی فوضع یده الیسری علی الیمنی فرآه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یده الیمنی علی الیسری</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أنّه من البعید أن لا یعرف مثل عبد الله بن مسعود ذلک الصحابی الجلیل ما هو المسنون فی الصلاة مع أنّه من السابقین فی الإسلام أنّ فی السند هشیم بن بشیر و هو مشهور بالتدلیس</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أهم الروایات التی أوردوها فی هذه المسألة، و هناک روایات اخری لا تخلو کذلک من مناقشة فی سندها أو متنها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ما استدلّوا به من وجوه استحسانیة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الید علی الید أسلم له من العبث و أحسن فی التواضع و التضرع، فإن الشریعة لو کانت تثبت بمثل هذه الأقوال لاضمحل الدین، فالإنسان إنّما وظیفته التعبد بالشریعة، و لو جعل مذاقه هو المقیاس للحلال و الحرام أصبحت النتیجة عکسیة و هی تبعیة الشریعة للإنسان بدلاً عن تبعیة الإنسان</w:t>
      </w:r>
    </w:p>
    <w:p>
      <w:pPr>
        <w:pStyle w:val="BookText"/>
        <w:rPr/>
      </w:pPr>
      <w:r>
        <w:rPr>
          <w:rFonts w:ascii="IRNazanin" w:hAnsi="IRNazanin" w:eastAsia="IRNazanin"/>
          <w:color w:val="111111"/>
          <w:sz w:val="28"/>
          <w:sz w:val="28"/>
          <w:szCs w:val="28"/>
          <w:rtl w:val="true"/>
          <w:lang w:bidi="fa-IR"/>
        </w:rPr>
        <w:t>للشریعة، و قد یستحسن الإنسان وجهاً و تخفی علیه وجوه اخری أهم و أکبر، فمن أین نثبت أن الشریعة قد أمضت هذا الوجه و لم تمض وجهاً استحسانیاً آخر خفی علینا و ربّما کان أهم و أکبر؟ کالقول الذی ذکره القرطبی فی رد التکتف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باب الاستعانة و أنه لیس مناسباً لأفعال الصلاة بسبب ذلک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الوجوه الاستحسانیة تنفع فی تقریر و تثبیت و تأیید ما أثبتته الشریعة بأدلة من الکتاب و السنّة، فالاستحسان لیس دلیلاً و إنّما هو یأتی فی مرحلة ما بعد الدلیل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مسألة التکتف فی الصلاة من موارد الابتلاء الیومی المتکرر، و قد عاش المسلمون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عقدین من الزمن یصلی معهم و بحضورهم کل یوم ما لا یقل عن خمس مرات، و لو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بهذه الکیفیة للزم من ذلک وضوح المسألة لدی الصحابة بما فیه الکفایة، و الأمر لیس کذلک، فإن روایات التکتف محصورة بعدد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یکتنفها الغموض و مبتلاة بأسانید نوقش فی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بإزاءها روایات معارضة أنکرت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w:t>
      </w:r>
    </w:p>
    <w:p>
      <w:pPr>
        <w:pStyle w:val="BookText"/>
        <w:rPr/>
      </w:pPr>
      <w:r>
        <w:rPr>
          <w:rFonts w:ascii="IRNazanin" w:hAnsi="IRNazanin" w:eastAsia="IRNazanin"/>
          <w:color w:val="111111"/>
          <w:sz w:val="28"/>
          <w:sz w:val="28"/>
          <w:szCs w:val="28"/>
          <w:rtl w:val="true"/>
          <w:lang w:bidi="fa-IR"/>
        </w:rPr>
        <w:t xml:space="preserve">حالة کهذه کیف یتاح لنا التصدیق بأن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یقبض بیمینه علی شماله فی کل صلواته أو أکثرها کما یقتضی القول باستحباب ذلک فی الصلاة؟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وردت فی مقابل أحادیث القبض أخبار تنفیه حتی قال القرطبی فی بدایة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قد جاءت آثار ثابتة نقلت فیها صفة صلاته علیه الصلاة و السلام و لم ینقل فیها أنه کان یضع یده الیمنی علی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قوم أن الأوجب المصیر الی الآثار التی لیس فیها هذه الزیادة لأنها أکثر</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علی هذا فقه مالک الذی یُعتبر فقیه المدینة لشدة تأکیده علی عمل أهل المدینة باعتباره عملاً متلقی عن الصحابة، و هو فی مظنة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الروایات المعارضة للقبض فی الصلاة حدیث أبی حمید الساعدی الذی رواه غیر واحد من المحدّثین، و نحن نذکره بنصّ البیهقی،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أخبرناه أبو علی عبد الله الحافظ</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حمید الساعدی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أعلمکم بصلاة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ما کنت أکثرنا له تبعاً، و لا أقدمنا له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الی الصلاة رفع یدیه حتی یحاذی بهما مَنْکَبیه، ثمّ یکبر حتی یقرّ کل عضو منه فی موضعه معتدلاً، ثمّ یقرأ ثمّ یکبّر و یرفع یدیه حتی یحاذی بهما منکبیه، ثمّ یرکع و یضع راحتیه علی رکبتیه، ثمّ یعتدل و لا ینصب رأسه و لا یقنع، ثمّ یرفع رأسه،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ثمّ یرفع یدیه حتی یحاذی بهما منکبیه، حتی یعود کلّ عظم منه الی موضعه معتدلاً،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ثمّ یهوی الی الأرض فیجافی یدیه عن جنبیه، ثمّ یرفع رأسه فیثنی رجله الیسری فیقعد علیها و یفتح أصابع رجلیه إذا سجد، ثمّ یعود، ثمّ یرفع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ثمّ یثنی برجله فیقعد علیها معتدلاً حتی رجع أو یقرّ کلّ عظم موضعه معتدلاً، ثمّ یصنع فی الرکعة الاُخری مثل ذلک، ثمّ إذا قام من الرکعتین کبّر و رفع یدیه حتی یحاذی بهما منکبیه، کما فعل أو کبّر عند افتتاح الصلاة، ثمّ یصنع مثل ذلک فی بقیة صلاته، حتی إذا کان فی السجدة التی فیها التسلیم أخّر رجله الیسری و قعد متورکاً علی شقّه الأیسر، فقالوا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هکذا کان یصلّی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یوضح صحة الاحتجاج الاُمور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تصدیق أکابر الصحابة</w:t>
      </w:r>
      <w:r>
        <w:rPr>
          <w:rStyle w:val="FootnoteAnchor"/>
          <w:rtl w:val="true"/>
        </w:rPr>
        <w:footnoteReference w:id="22"/>
      </w:r>
      <w:r>
        <w:rPr>
          <w:rFonts w:ascii="IRNazanin" w:hAnsi="IRNazanin" w:eastAsia="IRNazanin"/>
          <w:color w:val="111111"/>
          <w:sz w:val="28"/>
          <w:sz w:val="28"/>
          <w:szCs w:val="28"/>
          <w:rtl w:val="true"/>
          <w:lang w:bidi="fa-IR"/>
        </w:rPr>
        <w:t>و بهذا العدد لأبی حمید یدلّ علی قوّة الحدیث، و ترجیحه علی غیره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إنّه وصف الفرائض و السنن و المندوبات و لم یذکر القبض، و لم ینکروا علیه، أو یذکروا خلافه، و کانوا حریصین علی ذلک، لأنّهم لم یسلّموا له أوّل الأمر أنّه أعلمهم بصلاة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هکذا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و من البعید جداً نسیانهم و هم عشرة، و فی مجال المذاکرة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الأصل فی وضع الیدین هو الإرسال، لأنّه الطبیعی فدلّ الحدیث علیه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لا یقال إنّ هذا الحدیث عام و قد خصّصته أحادیث القبض، لأنّه وصف و عدّد جمیع الفرائض و السنن و المندوبات و کامل هیئة الصلاة، و هو فی معرض التعلیم</w:t>
      </w:r>
      <w:bookmarkStart w:id="18" w:name="pg1268_12166"/>
    </w:p>
    <w:p>
      <w:pPr>
        <w:pStyle w:val="BookText"/>
        <w:rPr/>
      </w:pPr>
      <w:bookmarkEnd w:id="18"/>
      <w:r>
        <w:rPr>
          <w:rFonts w:ascii="IRNazanin" w:hAnsi="IRNazanin" w:eastAsia="IRNazanin"/>
          <w:color w:val="111111"/>
          <w:sz w:val="28"/>
          <w:sz w:val="28"/>
          <w:szCs w:val="28"/>
          <w:rtl w:val="true"/>
          <w:lang w:bidi="fa-IR"/>
        </w:rPr>
        <w:t>و البیان، و الحذف فیه خیانة، و هذا بعید عنه و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بعض من حضر من الصحابة هذه الحادثة قد روی أحادیث القبض، و لم یعترض علی أبی حمید الساعدی لعدم ذکره القبض</w:t>
      </w:r>
      <w:r>
        <w:rPr>
          <w:rFonts w:eastAsia="IRNazanin" w:cs="IRNazanin"/>
          <w:color w:val="111111"/>
          <w:sz w:val="28"/>
          <w:szCs w:val="28"/>
          <w:rtl w:val="true"/>
          <w:lang w:bidi="fa-IR"/>
        </w:rPr>
        <w:t>.</w:t>
      </w:r>
    </w:p>
    <w:p>
      <w:pPr>
        <w:pStyle w:val="Heading2"/>
        <w:numPr>
          <w:ilvl w:val="1"/>
          <w:numId w:val="1"/>
        </w:numPr>
        <w:rPr/>
      </w:pPr>
      <w:bookmarkStart w:id="19" w:name="__RefHeading___Toc3178400_373438147"/>
      <w:bookmarkStart w:id="20" w:name="_Toc7"/>
      <w:bookmarkEnd w:id="19"/>
      <w:r>
        <w:rPr>
          <w:rtl w:val="true"/>
        </w:rPr>
        <w:t>التکتّف من منظار أهل البیت علیهم السلام</w:t>
      </w:r>
      <w:bookmarkEnd w:id="20"/>
    </w:p>
    <w:p>
      <w:pPr>
        <w:pStyle w:val="BookText"/>
        <w:rPr/>
      </w:pPr>
      <w:r>
        <w:rPr>
          <w:rFonts w:ascii="IRNazanin" w:hAnsi="IRNazanin" w:eastAsia="IRNazanin"/>
          <w:color w:val="111111"/>
          <w:sz w:val="28"/>
          <w:sz w:val="28"/>
          <w:szCs w:val="28"/>
          <w:rtl w:val="true"/>
          <w:lang w:bidi="fa-IR"/>
        </w:rPr>
        <w:t>یتّضح مما سبق أن القول بالتکتف لم یثبت علیه أثر دال من الکتاب و لا السُنّة، و حینئذ فتوقیفیة العبادات و هی أمر یسلّم فقهاء المسلمین جمیعاً به تقتضی حرمة التکتف لکونه تشریعاً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نظرنا فی الروایات الواردة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وجدناها تؤکد علی نفی التکتف عن الصلاة و نسبته الی عمل المجوس بما یعمّق حرمته، و یجعلها تشریعاً محرّماً من جهة، و تشبّه بالکفار من جهة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محمد بن مسلم عن الصادق أو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یضع یده فی الصلاة، و حکی الیمنی علی الیسری؟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التکفیر، لا یُفعل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بالإقبال علی صلاتک، و لا تکفّر، فإنّما یصنع ذلک 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الصدوق 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یجمع المسلم یدیه فی صلاته، و هو قائم بین یدی الله عزّ و جل، یتشبّه بأهل الکفر، یعنی المجوس</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 الناحیة السلبیة، و من الناحیة الایجابیة وردت روایات عن الأئمة تبیّن صفة الصلاة و لم یرد فیها ذکر للتکتف</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حماد بن عیسی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أقبح بالرجل أن یأتی علیه ستون سنة أو سبعون سنة فما یقیم صلاة واحدة بحدودها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فأصابنی فی نفسی الذل،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فعلّمنی الصلاة، فقام أبو عبد الله مستقبل القبلة منتصباً فأرسل یدیه جمیعاً علی فخذیه، قد ضمّ أصابعه و قرّب بین قدمیه حتی کان بینهما ثلاثة أصابع مفرجات، و استقبل بأصابع رجلیه جمیعاً لم یُحرفهما عن القبلة بخشوع و استکانة،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ثمّ قرأ الحمد بترتیل، و قل هو الله أحد، ثمّ صبر هنیئة بقدر ما تنفس و هو قائم ثمّ قال الله أکبر و هو قائم، ثمّ رکع و ملأ کفّیه من رکبتیه مفرجات، و ردّ رکبتیه الی خلفه حتی استوی ظهره، حتی لو صُبّ علیه قطرة ماء أو دهن لم تزل لاستواء ظهره و تردّد</w:t>
      </w:r>
    </w:p>
    <w:p>
      <w:pPr>
        <w:pStyle w:val="BookText"/>
        <w:rPr/>
      </w:pPr>
      <w:r>
        <w:rPr>
          <w:rFonts w:ascii="IRNazanin" w:hAnsi="IRNazanin" w:eastAsia="IRNazanin"/>
          <w:color w:val="111111"/>
          <w:sz w:val="28"/>
          <w:sz w:val="28"/>
          <w:szCs w:val="28"/>
          <w:rtl w:val="true"/>
          <w:lang w:bidi="fa-IR"/>
        </w:rPr>
        <w:t>رکبتیه الی خلفه، و نصب عنقه، و غمض عینیه ثمّ سبّح ثلاثاً بترتیل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 بحمده، ثمّ استوی قائماً، فلمّا استمکن من القیام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ثمّ کبّر و هو قائم، و رفع یدیه حیال وجهه، و سجد، و وضع یدیه الی الأرض قبل رکبتیه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و بحمده ثلاث مرات، و لم یضع شیئاً من بدنه علی شیء منه، و سجد علی ثمانیة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 الکفین، و عینی الرکبتین، و أنامل إبهامی الرجلین، و الأنف، فهذه السبعة فرض، و وضع الأنف علی الأرض سنّة، و هو الإرغام، ثمّ رفع رأسه من السجود فلما استوی جالساً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ثمّ قعد علی جانبه الأیسر، و وضع ظاهر قدمه الیمنی علی باطن قدمه الیسری،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ربی و أتوب الیه، ثمّ کبّر و هو جالس و سجد الثانیة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فی الاُولی و لم یستعن بشیء من بدنه علی شیء منه فی رکوع و لا سجود، و کان مجنّحاً، و لم یضع ذراعیه علی الأرض، فصلّی رکعتین علی هذا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حمّاد هکذا صلّ، و لا تلتفت، و لا تعبث بیدک و أصابعک، و لا تبزق عن یمینک و لا عن یسارک و لا بین یدیک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تری أنّ الروایتین بصدد بیان کیفیة الصلاة المفروضة علی الناس، و لیست فیهما أیّة إشارة الی القبض بأقسامه المختلفة، فلو کان سنّة لما ترکه الإمام فی بیانه، و هو بعمله یجسّد لنا صلاة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أخذها عن أبیه الإمام الباقر، و هو عن أبیه عن آبائه، عن أمیر المؤمنین، عن الرسول الأعظم صلوات الله علیهم أجمعین فیکون القبض بدعة، لأنّه إدخال شیء فی الشریعة و هو لیس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تبعاً لهذه الأدلة أفتی فقهاء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بحرمة التکتف فی الصلاة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حجتنا علی صحة ما ذهبنا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ذکره من اجماع الطائفة و دلیل سقوط الصلاة عن الذمة بیقین، و أیضاً فهو عمل کثیر فی الصلاة خارج عن الأعمال المکتوبة فیها من الرکوع و السجود و القیام، و الظاهر أن کل عمل فی الصلاة خارج عن أعمالها المفروضة أنه لا یجوز</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أن یَضَع الیمین علی الشمال و لا الشمال علی الیمین فی الصلاة لا فوق السرّة و لا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اجماع الفرقة، فإنهم لا یختلفون فی أن ذلک یقطع الصلاة، و أیضاً أفعال الصلاة یحتاج ثبوتها الی الشرع و لیس فی الشرع ما یدل علی کون ذلک مشروعاً، و طریقة الاحتیاط تقتضی ذلک لأنه لا خلاف أن من أرسل یده فإن صلاته 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إذا وضع إحداهما علی الاُخری، فقالت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صلاته باطلة فوجب بذلک الأخذ بالجزم</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21" w:name="pg1268_12180"/>
    </w:p>
    <w:p>
      <w:pPr>
        <w:pStyle w:val="Heading2"/>
        <w:numPr>
          <w:ilvl w:val="1"/>
          <w:numId w:val="1"/>
        </w:numPr>
        <w:rPr/>
      </w:pPr>
      <w:bookmarkStart w:id="22" w:name="__RefHeading___Toc3178402_373438147"/>
      <w:bookmarkStart w:id="23" w:name="_Toc8"/>
      <w:bookmarkEnd w:id="21"/>
      <w:bookmarkEnd w:id="22"/>
      <w:r>
        <w:rPr>
          <w:rtl w:val="true"/>
        </w:rPr>
        <w:t>خلاصة البحث</w:t>
      </w:r>
      <w:bookmarkEnd w:id="23"/>
    </w:p>
    <w:p>
      <w:pPr>
        <w:pStyle w:val="BookText"/>
        <w:rPr/>
      </w:pPr>
      <w:r>
        <w:rPr>
          <w:rFonts w:ascii="IRNazanin" w:hAnsi="IRNazanin" w:eastAsia="IRNazanin"/>
          <w:color w:val="111111"/>
          <w:sz w:val="28"/>
          <w:sz w:val="28"/>
          <w:szCs w:val="28"/>
          <w:rtl w:val="true"/>
          <w:lang w:bidi="fa-IR"/>
        </w:rPr>
        <w:t>إن أشهر الأحادیث التی اعتمدت علیها المذاهب الأربعة فی القول باستحباب القبض فی الصلاة إما ضعیفة سنداً، أو غیر تامة من حیث الدلالة، و علی فرض وجود أحادیث اخری خالیة عن إشکال سندی أو دلالی، فهی مما لا یسوغ العمل بها لوجود أحادیث صحیحة معارضة لها کحدیث أبی حمید الساعدی الذی مرّ ذکره، و عند التعارض یتساقط المتعارضان و نرجع الی الأصل، و هو إسبال الیدین، لأن القبض تکلّف زائد علی الطبیعة و لم یثبت علیه دلیل باتّ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لا اشکال فیه أن إسبال الیدین هو الأحوط، لأن القائل بالقبض لا یوجبه، و إنّما یقول باستحبابه و قد وقع الخلاف فیه، و لم یقع خلاف فی جواز إسبال الیدین، فضلاً عن أن القول بعدم جواز القبض هو الثابت فی فقه العترة الطاهرة التی أمر المسلمین باتّباعها دون غیرها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ط دار الفکر، بیروت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ط دار الکتب العلمیة، بیروت الطبعة العاشرة،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ط جماعة المدرسین بقم،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فتح الباری فی شرح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باب وضع الیمنی علی الیسری و رواه البیهقی فی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وضع الید الیمنی علی الیسری فی الصلاة، ح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 ط دار الکتب العلمیة، بیروت، الطبعة الاُولی،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إسماعیل بن أبی أویس شیخ البخاری کما جزم به الحمیدی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ط دار الفکر، بیروت،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الصلاة، باب وضع یده الیمنی علی الیسری، ط مؤسسة عز الدین، بیروت، سنة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فی سند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المقصود، هو همام بن یحیی فقد قال ابن عمار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یحیی القطّان لا یعبأ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عمر بن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عفان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یحیی بن سعید یعترض علی همام فی کثیر من حدیثه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صدوق، فی 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هدی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أورد ثلاثة أحادیث ینتهی سندها بوائل بن حجر، الأول منها یقع همام فی سنده و قد مضی الکلام علیه فی الهامش السابق، الثانی منها فی سنده عبد الله بن جعفر، فلو کان هو ابن نجیح قال ابن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بشیء، و قال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متروک، و کان وکیع إذا أتی علی حدیثه جزّ علیه، متّفق علی 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xml:space="preserve">، حرف العین 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 منها فی سنده عبد الله بن رجاء، قال عمرو بن علی الفلاس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کثیر الخلط و التصحیف، لیس بحجّة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هدی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بیروت الطبعة الاُولی،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سنن أبی داود، باب افتتاح الصلاة،</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عشرة منهم ابو هریرة، و سهل الساعدی، و أبو اسید الساعدی، و أبو قتادة الحارث بن ربعی، و محمد بن مسلمة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شرح سنن أبی داود، باب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ط مؤسسة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ط جماعة المدرسین بقم المقدسة،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323321/1</w:t>
      </w:r>
      <w:r>
        <w:rPr>
          <w:rFonts w:ascii="IRNazanin" w:hAnsi="IRNazanin" w:eastAsia="IRNazanin"/>
          <w:b w:val="false"/>
          <w:b w:val="false"/>
          <w:bCs w:val="false"/>
          <w:i w:val="false"/>
          <w:i w:val="false"/>
          <w:iCs w:val="false"/>
          <w:color w:val="333333"/>
          <w:sz w:val="20"/>
          <w:sz w:val="20"/>
          <w:szCs w:val="20"/>
          <w:rtl w:val="true"/>
        </w:rPr>
        <w:t xml:space="preserve">، ط جماعة المدرسین بقم المقدسة،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الطبعة الثالثة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2.jpeg"/><Relationship Id="rId31" Type="http://schemas.openxmlformats.org/officeDocument/2006/relationships/image" Target="media/image2.jpeg"/><Relationship Id="rId32" Type="http://schemas.openxmlformats.org/officeDocument/2006/relationships/footer" Target="footer25.xml"/><Relationship Id="rId33" Type="http://schemas.openxmlformats.org/officeDocument/2006/relationships/footnotes" Target="footnotes.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Pages>
  <Words>3938</Words>
  <Characters>15955</Characters>
  <CharactersWithSpaces>19769</CharactersWithSpaces>
  <Paragraphs>160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2026-08-16T13:16:37Z</dcterms:created>
  <dc:creator>ghaemiyeh.com</dc:creator>
  <dc:description/>
  <dc:language>en-US</dc:language>
  <cp:lastModifiedBy/>
  <dcterms:modified xsi:type="dcterms:W3CDTF">2026-08-16T16:46:38Z</dcterms:modified>
  <cp:revision>1</cp:revision>
  <dc:subject/>
  <dc:title>القبض فی الصلاه التکتف</dc:title>
</cp:coreProperties>
</file>

<file path=docProps/custom.xml><?xml version="1.0" encoding="utf-8"?>
<Properties xmlns="http://schemas.openxmlformats.org/officeDocument/2006/custom-properties" xmlns:vt="http://schemas.openxmlformats.org/officeDocument/2006/docPropsVTypes"/>
</file>