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نهی از قیام در بوته نقد و تحلیل روایی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648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288650_373438147">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288652_373438147">
            <w:r>
              <w:rPr>
                <w:webHidden/>
                <w:rStyle w:val="IndexLink"/>
                <w:rtl w:val="true"/>
              </w:rPr>
              <w:t xml:space="preserve">روايتي درباره خروج حضرت قائم </w:t>
            </w:r>
            <w:r>
              <w:rPr>
                <w:rStyle w:val="IndexLink"/>
                <w:rtl w:val="true"/>
              </w:rPr>
              <w:t>(</w:t>
            </w:r>
            <w:r>
              <w:rPr>
                <w:rStyle w:val="IndexLink"/>
              </w:rPr>
              <w:t>1</w:t>
            </w:r>
            <w:r>
              <w:rPr>
                <w:rStyle w:val="IndexLink"/>
                <w:rtl w:val="true"/>
              </w:rPr>
              <w:t>)</w:t>
              <w:tab/>
            </w:r>
            <w:r>
              <w:rPr>
                <w:rStyle w:val="IndexLink"/>
              </w:rPr>
              <w:t>5</w:t>
            </w:r>
          </w:hyperlink>
        </w:p>
        <w:p>
          <w:pPr>
            <w:pStyle w:val="Contents3"/>
            <w:tabs>
              <w:tab w:val="clear" w:pos="8459"/>
              <w:tab w:val="right" w:pos="9026" w:leader="dot"/>
            </w:tabs>
            <w:rPr/>
          </w:pPr>
          <w:hyperlink w:anchor="__RefHeading___Toc2288654_37343814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2288656_373438147">
            <w:r>
              <w:rPr>
                <w:webHidden/>
                <w:rStyle w:val="IndexLink"/>
                <w:rtl w:val="true"/>
              </w:rPr>
              <w:t>دلالت و توجيه روايت‌</w:t>
            </w:r>
            <w:r>
              <w:rPr>
                <w:rStyle w:val="IndexLink"/>
                <w:rtl w:val="true"/>
              </w:rPr>
              <w:tab/>
            </w:r>
            <w:r>
              <w:rPr>
                <w:rStyle w:val="IndexLink"/>
              </w:rPr>
              <w:t>7</w:t>
            </w:r>
          </w:hyperlink>
        </w:p>
        <w:p>
          <w:pPr>
            <w:pStyle w:val="Contents2"/>
            <w:tabs>
              <w:tab w:val="clear" w:pos="8743"/>
              <w:tab w:val="right" w:pos="9026" w:leader="dot"/>
            </w:tabs>
            <w:rPr/>
          </w:pPr>
          <w:hyperlink w:anchor="__RefHeading___Toc2288658_373438147">
            <w:r>
              <w:rPr>
                <w:webHidden/>
                <w:rStyle w:val="IndexLink"/>
                <w:rtl w:val="true"/>
              </w:rPr>
              <w:t xml:space="preserve">روايتي درباره خروج حضرت قائم </w:t>
            </w:r>
            <w:r>
              <w:rPr>
                <w:rStyle w:val="IndexLink"/>
                <w:rtl w:val="true"/>
              </w:rPr>
              <w:t>(</w:t>
            </w:r>
            <w:r>
              <w:rPr>
                <w:rStyle w:val="IndexLink"/>
              </w:rPr>
              <w:t>2</w:t>
            </w:r>
            <w:r>
              <w:rPr>
                <w:rStyle w:val="IndexLink"/>
                <w:rtl w:val="true"/>
              </w:rPr>
              <w:t>)</w:t>
              <w:tab/>
            </w:r>
            <w:r>
              <w:rPr>
                <w:rStyle w:val="IndexLink"/>
              </w:rPr>
              <w:t>11</w:t>
            </w:r>
          </w:hyperlink>
        </w:p>
        <w:p>
          <w:pPr>
            <w:pStyle w:val="Contents3"/>
            <w:tabs>
              <w:tab w:val="clear" w:pos="8459"/>
              <w:tab w:val="right" w:pos="9026" w:leader="dot"/>
            </w:tabs>
            <w:rPr/>
          </w:pPr>
          <w:hyperlink w:anchor="__RefHeading___Toc2288660_37343814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288662_373438147">
            <w:r>
              <w:rPr>
                <w:webHidden/>
                <w:rStyle w:val="IndexLink"/>
                <w:rtl w:val="true"/>
              </w:rPr>
              <w:t>بررسي سند روايت‌</w:t>
            </w:r>
            <w:r>
              <w:rPr>
                <w:rStyle w:val="IndexLink"/>
                <w:rtl w:val="true"/>
              </w:rPr>
              <w:tab/>
            </w:r>
            <w:r>
              <w:rPr>
                <w:rStyle w:val="IndexLink"/>
              </w:rPr>
              <w:t>11</w:t>
            </w:r>
          </w:hyperlink>
        </w:p>
        <w:p>
          <w:pPr>
            <w:pStyle w:val="Contents3"/>
            <w:tabs>
              <w:tab w:val="clear" w:pos="8459"/>
              <w:tab w:val="right" w:pos="9026" w:leader="dot"/>
            </w:tabs>
            <w:rPr/>
          </w:pPr>
          <w:hyperlink w:anchor="__RefHeading___Toc2288664_373438147">
            <w:r>
              <w:rPr>
                <w:webHidden/>
                <w:rStyle w:val="IndexLink"/>
                <w:rtl w:val="true"/>
              </w:rPr>
              <w:t>طريق ديگر حديث‌</w:t>
            </w:r>
            <w:r>
              <w:rPr>
                <w:rStyle w:val="IndexLink"/>
                <w:rtl w:val="true"/>
              </w:rPr>
              <w:tab/>
            </w:r>
            <w:r>
              <w:rPr>
                <w:rStyle w:val="IndexLink"/>
              </w:rPr>
              <w:t>14</w:t>
            </w:r>
          </w:hyperlink>
        </w:p>
        <w:p>
          <w:pPr>
            <w:pStyle w:val="Contents4"/>
            <w:tabs>
              <w:tab w:val="clear" w:pos="8176"/>
              <w:tab w:val="right" w:pos="9026" w:leader="dot"/>
            </w:tabs>
            <w:rPr/>
          </w:pPr>
          <w:hyperlink w:anchor="__RefHeading___Toc2288666_37343814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288668_373438147">
            <w:r>
              <w:rPr>
                <w:webHidden/>
                <w:rStyle w:val="IndexLink"/>
                <w:rtl w:val="true"/>
              </w:rPr>
              <w:t>بررسي طريق اول نعماني‌</w:t>
            </w:r>
            <w:r>
              <w:rPr>
                <w:rStyle w:val="IndexLink"/>
                <w:rtl w:val="true"/>
              </w:rPr>
              <w:tab/>
            </w:r>
            <w:r>
              <w:rPr>
                <w:rStyle w:val="IndexLink"/>
              </w:rPr>
              <w:t>14</w:t>
            </w:r>
          </w:hyperlink>
        </w:p>
        <w:p>
          <w:pPr>
            <w:pStyle w:val="Contents4"/>
            <w:tabs>
              <w:tab w:val="clear" w:pos="8176"/>
              <w:tab w:val="right" w:pos="9026" w:leader="dot"/>
            </w:tabs>
            <w:rPr/>
          </w:pPr>
          <w:hyperlink w:anchor="__RefHeading___Toc2288670_373438147">
            <w:r>
              <w:rPr>
                <w:webHidden/>
                <w:rStyle w:val="IndexLink"/>
                <w:rtl w:val="true"/>
              </w:rPr>
              <w:t>بررسي طريق دوم نعماني‌</w:t>
            </w:r>
            <w:r>
              <w:rPr>
                <w:rStyle w:val="IndexLink"/>
                <w:rtl w:val="true"/>
              </w:rPr>
              <w:tab/>
            </w:r>
            <w:r>
              <w:rPr>
                <w:rStyle w:val="IndexLink"/>
              </w:rPr>
              <w:t>15</w:t>
            </w:r>
          </w:hyperlink>
        </w:p>
        <w:p>
          <w:pPr>
            <w:pStyle w:val="Contents4"/>
            <w:tabs>
              <w:tab w:val="clear" w:pos="8176"/>
              <w:tab w:val="right" w:pos="9026" w:leader="dot"/>
            </w:tabs>
            <w:rPr/>
          </w:pPr>
          <w:hyperlink w:anchor="__RefHeading___Toc2288672_373438147">
            <w:r>
              <w:rPr>
                <w:webHidden/>
                <w:rStyle w:val="IndexLink"/>
                <w:rtl w:val="true"/>
              </w:rPr>
              <w:t>بررسي طريق سوم نعماني‌</w:t>
            </w:r>
            <w:r>
              <w:rPr>
                <w:rStyle w:val="IndexLink"/>
                <w:rtl w:val="true"/>
              </w:rPr>
              <w:tab/>
            </w:r>
            <w:r>
              <w:rPr>
                <w:rStyle w:val="IndexLink"/>
              </w:rPr>
              <w:t>15</w:t>
            </w:r>
          </w:hyperlink>
        </w:p>
        <w:p>
          <w:pPr>
            <w:pStyle w:val="Contents4"/>
            <w:tabs>
              <w:tab w:val="clear" w:pos="8176"/>
              <w:tab w:val="right" w:pos="9026" w:leader="dot"/>
            </w:tabs>
            <w:rPr/>
          </w:pPr>
          <w:hyperlink w:anchor="__RefHeading___Toc2288674_373438147">
            <w:r>
              <w:rPr>
                <w:webHidden/>
                <w:rStyle w:val="IndexLink"/>
                <w:rtl w:val="true"/>
              </w:rPr>
              <w:t>بررسي دلالت روايت‌</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_6722"/>
      <w:bookmarkStart w:id="1" w:name="pg1139_6722"/>
      <w:bookmarkEnd w:id="1"/>
    </w:p>
    <w:p>
      <w:pPr>
        <w:pStyle w:val="Heading2"/>
        <w:numPr>
          <w:ilvl w:val="1"/>
          <w:numId w:val="1"/>
        </w:numPr>
        <w:rPr/>
      </w:pPr>
      <w:bookmarkStart w:id="2" w:name="pg1139_6722"/>
      <w:bookmarkStart w:id="3" w:name="__RefHeading___Toc2288648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از قيام در بوته نقد و تحليل روايي</w:t>
      </w:r>
    </w:p>
    <w:p>
      <w:pPr>
        <w:pStyle w:val="BookText"/>
        <w:rPr/>
      </w:pPr>
      <w:r>
        <w:rPr>
          <w:rFonts w:ascii="IRNazanin" w:hAnsi="IRNazanin" w:eastAsia="IRNazanin"/>
          <w:color w:val="111111"/>
          <w:sz w:val="28"/>
          <w:sz w:val="28"/>
          <w:szCs w:val="28"/>
          <w:rtl w:val="true"/>
          <w:lang w:bidi="fa-IR"/>
        </w:rPr>
        <w:t xml:space="preserve">پديدآورندگان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طبسي، نجم الدين،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Amiri" w:hAnsi="Amiri" w:eastAsia="Amiri" w:cs="Amiri"/>
          <w:color w:val="111111"/>
          <w:sz w:val="28"/>
          <w:sz w:val="28"/>
          <w:szCs w:val="28"/>
          <w:rtl w:val="true"/>
          <w:lang w:bidi="ar-SA"/>
        </w:rPr>
        <w:t>الكترونيكي</w:t>
      </w:r>
    </w:p>
    <w:p>
      <w:pPr>
        <w:pStyle w:val="BookText"/>
        <w:rPr/>
      </w:pP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صاحب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فرهنگي و اطلاع رساني تبيان</w:t>
      </w:r>
    </w:p>
    <w:p>
      <w:pPr>
        <w:pStyle w:val="BookText"/>
        <w:rPr/>
      </w:pPr>
      <w:r>
        <w:rPr>
          <w:rFonts w:ascii="IRNazanin" w:hAnsi="IRNazanin" w:eastAsia="IRNazanin"/>
          <w:color w:val="111111"/>
          <w:sz w:val="28"/>
          <w:sz w:val="28"/>
          <w:szCs w:val="28"/>
          <w:rtl w:val="true"/>
          <w:lang w:bidi="fa-IR"/>
        </w:rPr>
        <w:t xml:space="preserve">توصيفگر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طاغوت</w:t>
      </w:r>
    </w:p>
    <w:p>
      <w:pPr>
        <w:pStyle w:val="BookText"/>
        <w:rPr/>
      </w:pPr>
      <w:r>
        <w:rPr>
          <w:rFonts w:ascii="Amiri" w:hAnsi="Amiri" w:eastAsia="Amiri" w:cs="Amiri"/>
          <w:color w:val="111111"/>
          <w:sz w:val="28"/>
          <w:sz w:val="28"/>
          <w:szCs w:val="28"/>
          <w:rtl w:val="true"/>
          <w:lang w:bidi="ar-SA"/>
        </w:rPr>
        <w:t>عصر غيبت</w:t>
      </w:r>
    </w:p>
    <w:p>
      <w:pPr>
        <w:pStyle w:val="BookText"/>
        <w:rPr/>
      </w:pPr>
      <w:r>
        <w:rPr>
          <w:rFonts w:ascii="Amiri" w:hAnsi="Amiri" w:eastAsia="Amiri" w:cs="Amiri"/>
          <w:color w:val="111111"/>
          <w:sz w:val="28"/>
          <w:sz w:val="28"/>
          <w:szCs w:val="28"/>
          <w:rtl w:val="true"/>
          <w:lang w:bidi="ar-SA"/>
        </w:rPr>
        <w:t xml:space="preserve">خروج امام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امام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محتوا</w:t>
      </w:r>
    </w:p>
    <w:p>
      <w:pPr>
        <w:pStyle w:val="BookText"/>
        <w:rPr/>
      </w:pPr>
      <w:r>
        <w:rPr>
          <w:rFonts w:ascii="IRNazanin" w:hAnsi="IRNazanin" w:eastAsia="IRNazanin"/>
          <w:color w:val="111111"/>
          <w:sz w:val="28"/>
          <w:sz w:val="28"/>
          <w:szCs w:val="28"/>
          <w:rtl w:val="true"/>
          <w:lang w:bidi="fa-IR"/>
        </w:rPr>
        <w:t xml:space="preserve">وضعيت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و اطلاع رساني تبيان،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ويرايش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ملزومات سيستم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ويندوز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پشتيباني متون عربي؛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IE6</w:t>
      </w:r>
      <w:r>
        <w:rPr>
          <w:rFonts w:ascii="IRNazanin" w:hAnsi="IRNazanin" w:eastAsia="IRNazanin"/>
          <w:color w:val="111111"/>
          <w:sz w:val="28"/>
          <w:sz w:val="28"/>
          <w:szCs w:val="28"/>
          <w:rtl w:val="true"/>
          <w:lang w:bidi="fa-IR"/>
        </w:rPr>
        <w:t>شيوه دسترسي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جهاني وبعنوان از روي صفحه نمايش عنوانداده هاي الكترونيكيمنشأ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بنياد فرهنگي حضرت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شناسه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oai:tebyan.net/7234</w:t>
      </w:r>
    </w:p>
    <w:p>
      <w:pPr>
        <w:pStyle w:val="BookText"/>
        <w:rPr/>
      </w:pPr>
      <w:r>
        <w:rPr>
          <w:rFonts w:ascii="Amiri" w:hAnsi="Amiri" w:eastAsia="Amiri" w:cs="Amiri"/>
          <w:color w:val="111111"/>
          <w:sz w:val="28"/>
          <w:sz w:val="28"/>
          <w:szCs w:val="28"/>
          <w:rtl w:val="true"/>
          <w:lang w:bidi="ar-SA"/>
        </w:rPr>
        <w:t xml:space="preserve">تاريخ ايجاد ركورد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1387/12/15</w:t>
      </w:r>
    </w:p>
    <w:p>
      <w:pPr>
        <w:pStyle w:val="BookText"/>
        <w:rPr/>
      </w:pPr>
      <w:r>
        <w:rPr>
          <w:rFonts w:ascii="Amiri" w:hAnsi="Amiri" w:eastAsia="Amiri" w:cs="Amiri"/>
          <w:color w:val="111111"/>
          <w:sz w:val="28"/>
          <w:sz w:val="28"/>
          <w:szCs w:val="28"/>
          <w:rtl w:val="true"/>
          <w:lang w:bidi="ar-SA"/>
        </w:rPr>
        <w:t xml:space="preserve">تاريخ تغيير ركورد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1387/12/15</w:t>
      </w:r>
    </w:p>
    <w:p>
      <w:pPr>
        <w:pStyle w:val="BookText"/>
        <w:rPr/>
      </w:pPr>
      <w:r>
        <w:rPr>
          <w:rFonts w:ascii="Amiri" w:hAnsi="Amiri" w:eastAsia="Amiri" w:cs="Amiri"/>
          <w:color w:val="111111"/>
          <w:sz w:val="28"/>
          <w:sz w:val="28"/>
          <w:szCs w:val="28"/>
          <w:rtl w:val="true"/>
          <w:lang w:bidi="ar-SA"/>
        </w:rPr>
        <w:t xml:space="preserve">تاريخ 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1389/6/28</w:t>
      </w:r>
    </w:p>
    <w:p>
      <w:pPr>
        <w:pStyle w:val="BookText"/>
        <w:rPr/>
      </w:pPr>
      <w:r>
        <w:rPr>
          <w:rFonts w:ascii="IRNazanin" w:hAnsi="IRNazanin" w:eastAsia="IRNazanin"/>
          <w:color w:val="111111"/>
          <w:sz w:val="28"/>
          <w:sz w:val="28"/>
          <w:szCs w:val="28"/>
          <w:rtl w:val="true"/>
          <w:lang w:bidi="fa-IR"/>
        </w:rPr>
        <w:t xml:space="preserve">قيمت شيء ديجيتال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رايگان</w:t>
      </w:r>
    </w:p>
    <w:p>
      <w:pPr>
        <w:pStyle w:val="Heading2"/>
        <w:numPr>
          <w:ilvl w:val="1"/>
          <w:numId w:val="1"/>
        </w:numPr>
        <w:rPr/>
      </w:pPr>
      <w:bookmarkStart w:id="5" w:name="__RefHeading___Toc2288650_373438147"/>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چنين مي‌انديشند كه پيش از ظهور حضرت مهدي‌عليه السلام نبايد قيام كرد و نهضتي اصلاحي به راه انداخت و آن كس كه انقلاب كند،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براي اثبات عقيده‌ي خويش، به چند روايت كه از قيام پيش از ظهور حضرت مهدي‌عليه السلام نهي كرده است، تمسّك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 حاضر، نقد و بررسي روايي و دَلالي اين چند حديث براي اثبات نادرستي چنين انديشه‌اي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شنيده مي‌شود كه مذاق شرع، خودداري از هر گونه تحرّكي عليه حكّام ظالم و تا بيش از ظهور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رواياتي هم در اين باره استناد مي‌كنند، و در نتيجه، به شدّت، با هر گونه نداي عدالت‌خواهانه مخالفت مي‌كنند و آن را طاغوت</w:t>
      </w:r>
      <w:bookmarkStart w:id="7" w:name="pg1139_6723"/>
    </w:p>
    <w:p>
      <w:pPr>
        <w:pStyle w:val="BookText"/>
        <w:rPr/>
      </w:pPr>
      <w:bookmarkEnd w:id="7"/>
      <w:r>
        <w:rPr>
          <w:rFonts w:ascii="IRNazanin" w:hAnsi="IRNazanin" w:eastAsia="IRNazanin"/>
          <w:color w:val="111111"/>
          <w:sz w:val="28"/>
          <w:sz w:val="28"/>
          <w:szCs w:val="28"/>
          <w:rtl w:val="true"/>
          <w:lang w:bidi="fa-IR"/>
        </w:rPr>
        <w:t>مي‌نامند، و بدين گونه، سكوت خود را توجيه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شديم تا روايات مورد نظر را بررسي سندي و دلالي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حرّ عاملي در كتاب گران سنگ خود وسائل الشيعة، در كتاب جهاد، اين روايات را در يك باب آورده و عنوان آن را چنين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حكمِ الخروج بالسيف قبل قيام القائم‌عليه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مي‌فرماييد، ايشان فتوا و نظر نداده است؛ زيرا، اگر نظري داشت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ابواب ديگر نظر و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روايت كه عمده و مهم‌ترين آنان است، از منابع اصلي، اشاره و بحث مي‌كنيم</w:t>
      </w:r>
      <w:r>
        <w:rPr>
          <w:rFonts w:eastAsia="IRNazanin" w:cs="IRNazanin"/>
          <w:color w:val="111111"/>
          <w:sz w:val="28"/>
          <w:szCs w:val="28"/>
          <w:rtl w:val="true"/>
          <w:lang w:bidi="fa-IR"/>
        </w:rPr>
        <w:t>:</w:t>
      </w:r>
    </w:p>
    <w:p>
      <w:pPr>
        <w:pStyle w:val="Heading2"/>
        <w:numPr>
          <w:ilvl w:val="1"/>
          <w:numId w:val="1"/>
        </w:numPr>
        <w:rPr/>
      </w:pPr>
      <w:bookmarkStart w:id="8" w:name="__RefHeading___Toc2288652_373438147"/>
      <w:bookmarkStart w:id="9" w:name="_Toc3"/>
      <w:bookmarkEnd w:id="8"/>
      <w:r>
        <w:rPr>
          <w:rtl w:val="true"/>
        </w:rPr>
        <w:t xml:space="preserve">روايتي درباره خروج حضرت قائم </w:t>
      </w:r>
      <w:r>
        <w:rPr>
          <w:rtl w:val="true"/>
        </w:rPr>
        <w:t>(</w:t>
      </w:r>
      <w:r>
        <w:rPr/>
        <w:t>1</w:t>
      </w:r>
      <w:r>
        <w:rPr>
          <w:rtl w:val="true"/>
        </w:rPr>
        <w:t>)</w:t>
      </w:r>
      <w:bookmarkEnd w:id="9"/>
    </w:p>
    <w:p>
      <w:pPr>
        <w:pStyle w:val="Heading3"/>
        <w:numPr>
          <w:ilvl w:val="2"/>
          <w:numId w:val="1"/>
        </w:numPr>
        <w:rPr/>
      </w:pPr>
      <w:bookmarkStart w:id="10" w:name="__RefHeading___Toc2288654_373438147"/>
      <w:bookmarkStart w:id="11" w:name="_Toc4"/>
      <w:bookmarkEnd w:id="10"/>
      <w:r>
        <w:rPr>
          <w:rtl w:val="true"/>
        </w:rPr>
        <w:t>اشاره</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ابراهيم، عن أبيه، عن حمّاد بن عيسي، عن ربعي، رفعه عن علي بن الحسين‌عليه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واحد منّا قبل خروج القائم‌عليه السلام إلّا كان مَثَلُهُ مثلَ فَرخ طار من و كره قبل أنْ يستوي جناحاه، فأخذه الصبيان فعبثوا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ما، پيش از خروج حضرت قائم‌عليه السلام خروج نمي‌كند، مگر اين كه همانند جوجه پرنده‌اي باشد كه پيش از آن كه بال و پر او رديف شود، از لانه‌ي خود بيرون زده و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زمين مي‌افتد آن را گرفته و كودكان ابزار بازي و سرگرمي خود قرار مي‌دهند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مرسل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ربعي بن عبدالله بن 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ثقه است، ولي از اصحاب امام صادق و امام كاظم‌عليهما السلام است و از نظر طبقه و سال، نمي‌تواند بدون واسطه، از امام زين العابدين‌عليه السلام حديث نقل كند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مرحوم مجلسي از اين روايت، به عنوان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روايت را، نعماني، با اندك تغييري، از امام باقرعليه السلام با سند ديگري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علي الجُعفي، عن محمّد بن المثنّي الحضرمي، عن أبيه، عن عثمان بن زيد الجهني، عن جابر، عن أبي جعفر محمّد بن علي الباقرعليه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القائم منّا أهل البيت كخروج رسول الله‌صلي الله عليه وآله، و مَثَلُ مَنْ خَرَج مِنّا أهل البيت قبل قيام القائم مثل فرخ طار فوقع من وكره فتلاعبتْ به الصبيانُ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حضرت قائم ما اهل بيت، مانند خروج حضرت رسول الله‌صلي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كسي كه از ما اهل بيت، قبل از قيام حضرت قائم‌عليه السلام خروج كند، مثال جوجه پرنده‌اي است كه از لانه‌ي خود به پرواز درآيد و مورد سرگرميِ كودكان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سند اين روايت هم مورد اشكال است؛ زيرا، اوّلاً، چند نفري از رجال آن، مجهول و يا مهمل هستند، همانند احمد بن علي جعفي و محمد بن مثنّي حضرمي و عثمان بن زيد جهني</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جعفر بن محمّد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نجاشي، ضعيف الحديث و فاسد المذهب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متروك الحديث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الضعفاء و المجاهيل و كل عيوب الضعفاء مجتمعة فيه </w:t>
      </w:r>
      <w:r>
        <w:rPr>
          <w:rStyle w:val="FootnoteAnchor"/>
          <w:rtl w:val="true"/>
        </w:rPr>
        <w:footnoteReference w:id="8"/>
      </w:r>
      <w:r>
        <w:rPr>
          <w:rFonts w:ascii="IRNazanin" w:hAnsi="IRNazanin" w:eastAsia="IRNazanin"/>
          <w:color w:val="111111"/>
          <w:sz w:val="28"/>
          <w:sz w:val="28"/>
          <w:szCs w:val="28"/>
          <w:rtl w:val="true"/>
          <w:lang w:bidi="fa-IR"/>
        </w:rPr>
        <w:t>ايشان، دروغگو است و تمامي احاديث او مورد اعراض و بي‌اعتنايي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عقيده‌ي او،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 از ضعفا و مجهولان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عيب‌هاي افراد ضعيف، در او جمع شده</w:t>
      </w:r>
      <w:bookmarkStart w:id="12" w:name="pg1139_6725"/>
    </w:p>
    <w:p>
      <w:pPr>
        <w:pStyle w:val="BookText"/>
        <w:rPr/>
      </w:pPr>
      <w:bookmarkEnd w:id="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بزرگاني مانند ابن الوليد، ابن نوح، مرحوم صدوق، ايشان را تضعيف كرده‌اند، هر چند شيخ طوسي و علي بن ابراهيم، ايشان را توثيق كرده‌اند، ولي چون با تضعيف‌هاي قبل تعارض دارد، نمي‌توان حكم به وثاقت او كرد، مرحوم خويي، صريحاً، اين مطلب را فرموده‌اند</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 اين طريق نيز مورد اشكال جدي است و قابل اعتماد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تستري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شخص، مورد اختلاف است و جارح، در اين جا، مقدّم است</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288656_373438147"/>
      <w:bookmarkStart w:id="14" w:name="_Toc5"/>
      <w:bookmarkEnd w:id="13"/>
      <w:r>
        <w:rPr>
          <w:rtl w:val="true"/>
        </w:rPr>
        <w:t>دلالت و توجيه روايت‌</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روايت، در مقام خبر دادن از يك امر غيبي باشد؛ يعني، امام‌عليه السلام طبق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مي‌فرمايد، قيام‌هاي قبل از ظهور، به هدف نمي‌رسد، هر چند ممكن است آثار مثبت و مطلوب بر آن مترتب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روايت، اين نيست كه قيام‌ها را تخطئه كند و آن را مورد تأييد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اين معنا را امام قصد كرده باشد و حال آن كه قيام زيد شهيد و قيام مختار و از همه درخشان‌تر، قيام سيد الشهداءعليه السلام اتّفاق افتاد و مواضع ائمه‌ي اطهارعليهم السلام در باره‌ي آن، كاملاً، مثبت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داريم كه امام معصوم، در مقام تشويق به قيام عليه حكام جور،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خانواده‌ي قيام‌كنندگان را بر عهده مي‌گيرم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 در سرائر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كتاب أحمد بن محمّد بن سيّار، أبي عبدالله السياري،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بين يدي أبي عبدالله‌عليه السلام من خرج من آل محمدصلي الله عليه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 أنا و شيعتي بخير ما خرج الخارجي من آل محمدصلي الله عليه وآله و لوددت أنّ الخارجيّ من آل محمد خرج و عليّ نفقة عياله</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در محضر حضرت امام جعفر صادق‌عليه السلام سخن از قيام و انقلابيان از آل محمدعليهم السلام به ميان آمد،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شيعيان من، در خير سلامت خواهند بود، تا زماني كه كسي از ما، عليه اينان قيام كند و آرزو دارم كه يكي از آل محمدصلي الله عليه وآله خروج كند و مخارج اهل و عيال او را، من، بر عهده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دو اشكال به اين روايت وارد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اين روايت، مرسل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اين حديث،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المذهب و كثير المراسيل و مجفوّ الرواية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w:t>
      </w:r>
      <w:r>
        <w:rPr>
          <w:rStyle w:val="FootnoteAnchor"/>
          <w:rtl w:val="true"/>
        </w:rPr>
        <w:footnoteReference w:id="12"/>
      </w:r>
      <w:r>
        <w:rPr>
          <w:rFonts w:ascii="IRNazanin" w:hAnsi="IRNazanin" w:eastAsia="IRNazanin"/>
          <w:color w:val="111111"/>
          <w:sz w:val="28"/>
          <w:sz w:val="28"/>
          <w:szCs w:val="28"/>
          <w:rtl w:val="true"/>
          <w:lang w:bidi="fa-IR"/>
        </w:rPr>
        <w:t>به اين نكته،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الغضائري هم او را ضعيف و غالي و متهالك شمرده است، هر چند، نظرمان نسبت به تضعيفات كتاب ابن الغضائري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بعضي، مانند مرحوم حاجي نوري، تلاش در توثيق اين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نكته را كه كليني از او زياد روايت نقل مي‌كند، دليل بر وثاقت گرفته است</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اين روايت نيز در مقام تأييد تمامي قيام‌ها نيست، بلكه اشاره به واقعيّتي دارد و آن، اين كه نتيجه‌ي اين قيام‌ها، اين است كه ذهن حكومت وقت، متوجّه آنان مي‌شود، و آزار و فشار بر ائمه‌عليهم السلام و شيعيان، كم‌تر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اشكال، خالي از تأمل نيست، زيرا، امام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الخارجي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اگر نص در تأييد نباشد، قطعاً، ظهور خواهد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كليني و نعماني به قيام فاطمي‌ها در افريقا و پيروزي آنان و به دست گرفتن زمام حكومت و هم نيز قيام بعضي از علويان در يمن و ايران، مورد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غيبي و پيشگويي، مورد نقض و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اشكال، پاسخ‌هايي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پيشگويي، حمل بر غالب مي‌شود؛ يعني، نوع قيام‌ها، به هدف نمي‌رسند و منافات با به هدف رسيدن بعضي از قيام‌ها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نقض‌ها، وارد نيست، زيرا، تمامي بلاد را تسخير و تصرّف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علوي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مورّخان بدان اشاره كرده‌اند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پاسخ سوم، وارد نيست، زيرا،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زاييده‌ي تبليغات دستگاه عباسي‌ها بوده و مي‌خواستند چنين وانمود كنند كه ايشان ربطي به اهل بيت پيامبرصلي الله عليه وآله ندارند، تا بدين طريق، افكار عمومي را عليه خود نشورانند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مردم متوجه آنان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دوم نيز وارد نيست؛ چون، روايت نهي از قيام، سخن از تسلّط بر تمامي نقاط جهان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مقبول و بدون اشكال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آمده، قيام يكي از ائمه‌ي طاهرين‌عليهم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پاسخ به اصرار بعضي از شيعيان به ائمه‌ي طاهرين‌عليهم السلام براي قيام عليه حكومت است و امام‌عليه السلام در پاسخ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ما، قبل ظهور حضرت قائم، با توجّه به نبودن نفرات و سلاح، توفيقي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يك نمونه‌ي تاريخي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رقي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امام صادق‌عليه السلام نشسته بودم، ناگهان، سهل بن حسن خراساني وارد شد و بر امام سلام كرد و گوشه‌اي نشست، سپس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الرأفة و الرحمة و أنتم أهل بيت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يمنعكَ أنْ يكونَ لكَ حقّ تقعد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اهل بيت، سزاوار پيشوايي و امامت هستيد، چه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مانع مي‌شود كه از حق خود دفاع نكنيد، و حال آن كه صد هزار مسلح پيرو داريد كه در ركاب شما آماده‌ي جان نثاري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تنور را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تا وارد تنور شود و ميان شعله‌هاي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 عذر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سيد من،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آتش، معذَّب مگردان و مرا ببخش و از آن چه گفتم،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هارون مكّي يكي از ياران حضرت، در حالي كه كفش خود را به دست گرفته بود، وارد شد و به حضرت عرض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النعل من يدك، و اجلس في التنور؛ كفش خود را رها كن و وارد تنور شو و آنجا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اطاعت كرده و فوراً وارد تنور شد و در آن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سخن خود با آن خراساني ادامه داد و اوضاع آن جا، خطه‌ي خراسان، را چنان براي خراساني تشريح مي‌كرد، گويا حضرت در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خراساني و انظر ما في التّنور؛ برخيز و به داخل تنور نگاه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داخل تنور نگاه انداختم، او را صحيح و سالم ديدم، در حالي كه راحت در آن 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تنور خارج شد و بر ما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خراساني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تجد بخراسان مثل هذا؟ چند نفر همانند اين شخص هارون مكي در خراسان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حتي يك نفر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bookmarkStart w:id="15" w:name="pg1139_6729"/>
    </w:p>
    <w:p>
      <w:pPr>
        <w:pStyle w:val="BookText"/>
        <w:rPr/>
      </w:pPr>
      <w:bookmarkEnd w:id="15"/>
      <w:r>
        <w:rPr>
          <w:rFonts w:ascii="Amiri" w:hAnsi="Amiri" w:eastAsia="Amiri" w:cs="Amiri"/>
          <w:color w:val="111111"/>
          <w:sz w:val="28"/>
          <w:sz w:val="28"/>
          <w:szCs w:val="28"/>
          <w:rtl w:val="true"/>
          <w:lang w:bidi="ar-SA"/>
        </w:rPr>
        <w:t>إنّا لا نخرج في زمان لا نجد فيه خمسة معاضدين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بالوقت </w:t>
      </w:r>
      <w:r>
        <w:rPr>
          <w:rStyle w:val="FootnoteAnchor"/>
          <w:rtl w:val="true"/>
        </w:rPr>
        <w:footnoteReference w:id="15"/>
      </w:r>
      <w:r>
        <w:rPr>
          <w:rFonts w:ascii="IRNazanin" w:hAnsi="IRNazanin" w:eastAsia="IRNazanin"/>
          <w:color w:val="111111"/>
          <w:sz w:val="28"/>
          <w:sz w:val="28"/>
          <w:szCs w:val="28"/>
          <w:rtl w:val="true"/>
          <w:lang w:bidi="fa-IR"/>
        </w:rPr>
        <w:t>زماني كه پنج نفر ياور نداشته باشيم، هرگز خروج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از شما مي‌دانيم كه چه زماني قيام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هيچ بعيد نيست كه اين سنخ روايات، ناظر به اين گونه جريانات و پاسخ اين گونه افراد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اعلام، به طور قطع، مدّعي شدند كه اين روايات، از جعلّيات بني اميّه و بني عباس است و انگيزه‌ي آنان، بازداشتن علويان از قيام و خروج عليه حكّام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البته به عنوان احتمال، مي‌توان آن را پذيرفت، چون، جعل احاديث از سوي حكّام، بالاخص امويان، امري عادي و شايع بوده است، ولي ادعاي قطع و يقين، مشكل است</w:t>
      </w:r>
      <w:r>
        <w:rPr>
          <w:rFonts w:eastAsia="IRNazanin" w:cs="IRNazanin"/>
          <w:color w:val="111111"/>
          <w:sz w:val="28"/>
          <w:szCs w:val="28"/>
          <w:rtl w:val="true"/>
          <w:lang w:bidi="fa-IR"/>
        </w:rPr>
        <w:t>.</w:t>
      </w:r>
    </w:p>
    <w:p>
      <w:pPr>
        <w:pStyle w:val="Heading2"/>
        <w:numPr>
          <w:ilvl w:val="1"/>
          <w:numId w:val="1"/>
        </w:numPr>
        <w:rPr/>
      </w:pPr>
      <w:bookmarkStart w:id="16" w:name="__RefHeading___Toc2288658_373438147"/>
      <w:bookmarkStart w:id="17" w:name="_Toc6"/>
      <w:bookmarkEnd w:id="16"/>
      <w:r>
        <w:rPr>
          <w:rtl w:val="true"/>
        </w:rPr>
        <w:t xml:space="preserve">روايتي درباره خروج حضرت قائم </w:t>
      </w:r>
      <w:r>
        <w:rPr>
          <w:rtl w:val="true"/>
        </w:rPr>
        <w:t>(</w:t>
      </w:r>
      <w:r>
        <w:rPr/>
        <w:t>2</w:t>
      </w:r>
      <w:r>
        <w:rPr>
          <w:rtl w:val="true"/>
        </w:rPr>
        <w:t>)</w:t>
      </w:r>
      <w:bookmarkEnd w:id="17"/>
    </w:p>
    <w:p>
      <w:pPr>
        <w:pStyle w:val="Heading3"/>
        <w:numPr>
          <w:ilvl w:val="2"/>
          <w:numId w:val="1"/>
        </w:numPr>
        <w:rPr/>
      </w:pPr>
      <w:bookmarkStart w:id="18" w:name="__RefHeading___Toc2288660_373438147"/>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محمّد بن يحيي، عن أحمد بن محمّد، عن الحسين بن سعيد، عن حمّاد بن عيسي، عن الحسين بن المختار، عن أبي بصير، عن أبي عبدالله‌عليه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رايةٍ تُرْفَعُ قبل قيامِ القائم، فصاحبها طاغوت يعبد من دون الله عزّ و جلّ</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الحديثطاغوت، به چند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ضلال و گمراهي </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به غير خداوند مورد پرستش و عبادت قرار مي‌گيرد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 گاهي به معناي مفرد مي‌آيد </w:t>
      </w:r>
      <w:r>
        <w:rPr>
          <w:rStyle w:val="FootnoteAnchor"/>
          <w:rtl w:val="true"/>
        </w:rPr>
        <w:footnoteReference w:id="20"/>
      </w:r>
      <w:r>
        <w:rPr>
          <w:rFonts w:ascii="IRNazanin" w:hAnsi="IRNazanin" w:eastAsia="IRNazanin"/>
          <w:color w:val="111111"/>
          <w:sz w:val="28"/>
          <w:sz w:val="28"/>
          <w:szCs w:val="28"/>
          <w:rtl w:val="true"/>
          <w:lang w:bidi="fa-IR"/>
        </w:rPr>
        <w:t>و گاهي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أُمروا أنْ يكفروا به</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براي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أولياءهم الطاغوت يخرجونهم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288662_373438147"/>
      <w:bookmarkStart w:id="21" w:name="_Toc8"/>
      <w:bookmarkEnd w:id="20"/>
      <w:r>
        <w:rPr>
          <w:rtl w:val="true"/>
        </w:rPr>
        <w:t>بررسي سند روايت‌</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علّامه‌ي مجلسي، اين روايت را موثَّق دانسته، </w:t>
      </w:r>
      <w:r>
        <w:rPr>
          <w:rStyle w:val="FootnoteAnchor"/>
          <w:rtl w:val="true"/>
        </w:rPr>
        <w:footnoteReference w:id="23"/>
      </w:r>
      <w:r>
        <w:rPr>
          <w:rFonts w:ascii="IRNazanin" w:hAnsi="IRNazanin" w:eastAsia="IRNazanin"/>
          <w:color w:val="111111"/>
          <w:sz w:val="28"/>
          <w:sz w:val="28"/>
          <w:szCs w:val="28"/>
          <w:rtl w:val="true"/>
          <w:lang w:bidi="fa-IR"/>
        </w:rPr>
        <w:t xml:space="preserve">ولي سند آن، خالي از اشكال نيست، چون، 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 ضعف او، چند قول داريم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بودن؛ شيخ طوسي، تصريح به عدم وثاقت و واقفي بودن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علّامه‌ي حلّي، او را ضعيف شمرده و مرحوم محقّق حلي،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روايتي آورده 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ضعيف است؛ زيرا در سند آن، حسين بن مختار،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ديگري نيز مانند مرحوم شيخ بهايي در كتاب مشرق الشمسين، او را ضعيف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ذيل روايتي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قابل استدلال بر اثبات حرمت نيست، چون، در سند آن، حسين بن مختار است و او، واقفي مذهب است</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 داشتن؛ ابن عقدة، معتقد به وثاقت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حلّي، نام او را در قسمت دوم كتاب آورده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وافقي است و ابن عقده، به نقل از علي بن الحسن، او را كوفي ثقه خوانده، ولي اعتماد من، بر قول اوّل است</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خويي، پس از مناقشه در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 بودن حسين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 بودن مانع از عمل به روايت شخص ثقه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بدون هيچ اشكالي، جزء موثّقان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العلامة في القسم الثاني و ترك العمل بروايته من جهة بنائه علي أنه واقفي، و الاصل في ذلك شهادةُ الشيخ في رجاله علي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يرده اوّلا، أنَّ الوقف، لا يمنع العمل بالرواية بعد كون راويها ثقة، و الحسين بن مختار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لم يثبت وقفه، لشهادة المفيد بأنه من أهل الورع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في الكافي، </w:t>
      </w:r>
      <w:r>
        <w:rPr>
          <w:rStyle w:val="FootnoteAnchor"/>
          <w:rtl w:val="true"/>
        </w:rPr>
        <w:footnoteReference w:id="26"/>
      </w:r>
      <w:r>
        <w:rPr>
          <w:rFonts w:ascii="Amiri" w:hAnsi="Amiri" w:eastAsia="Amiri" w:cs="Amiri"/>
          <w:color w:val="111111"/>
          <w:sz w:val="28"/>
          <w:sz w:val="28"/>
          <w:szCs w:val="28"/>
          <w:rtl w:val="true"/>
          <w:lang w:bidi="ar-SA"/>
        </w:rPr>
        <w:t>كتاب الحجة، في باب، الإشارة و النص علي أبي الحسن الرضاعليه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 صحيح، عن الحسين بن مختار، وصيةَ الكاظم‌عليه السلام إلي أبي الحسن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بسند ين صحيحين مثله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يجتمع مع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أنَّ سكوتَ النجاشي و الشيخ في الفهرست من ذكر مذهبه و الغمض فيه، شاهد علي عدم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كان، فالرجل من الثقات بلا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علّامه‌ي حلي، ايشان را در قسمت دوم از كتاب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روايات او عمل نمي‌كند، به لحاظ اين كه او واقفي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در اين نسبت، همان شهادت مرحوم شيخ طوسي در كتاب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با دو دليل، اين مطلب را رد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واقفي بودن، مانع از عمل به روايت نمي‌شود، پس از آن كه ثابت شود، راوي، ثقه است و حسين بن مختار،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واقفي بودن اين شخص، ثابت نيست، چون، شيخ مفيد، شهادت داده كه او، جزء پرهيزكاران شيعه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كليني، در كافي، كتاب حجت،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امامت امام رضاعليه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را با سند صحيح از حسين بن مختار نقل كرده كه متضمّن وصيّت امام كاظم‌عليه السلام به امام رضاعليه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مرحوم صدوق، با دو سند صحيح، در عيون أخبار الرضاعليه السلام، آورده و اين حديث، با واقفي بودن حسين بن مختار، جمع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آن، سكوت مرحوم نجاشي و شيخ طوسي در فهرست، و سخن نياوردن از مذهب حسين بن مختار و ايراد نگرفتن بر او، خود، شاهد بر عدم واقفي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مرد، بدون هيچ اشكال از ثقات است</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بعضي ديگر از معاصران نيز از او دفاع كرده‌اند، همانند مرحوم مامقاني و مرحوم تستري</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به سادگي نمي‌توان از كنار تضعيف محقق و علامه‌ي حلي گذشت و آن را</w:t>
      </w:r>
      <w:bookmarkStart w:id="22" w:name="pg1139_6732"/>
    </w:p>
    <w:p>
      <w:pPr>
        <w:pStyle w:val="BookText"/>
        <w:rPr/>
      </w:pPr>
      <w:bookmarkEnd w:id="22"/>
      <w:r>
        <w:rPr>
          <w:rFonts w:ascii="IRNazanin" w:hAnsi="IRNazanin" w:eastAsia="IRNazanin"/>
          <w:color w:val="111111"/>
          <w:sz w:val="28"/>
          <w:sz w:val="28"/>
          <w:szCs w:val="28"/>
          <w:rtl w:val="true"/>
          <w:lang w:bidi="fa-IR"/>
        </w:rPr>
        <w:t>ناديده گرفت</w:t>
      </w:r>
      <w:r>
        <w:rPr>
          <w:rFonts w:eastAsia="IRNazanin" w:cs="IRNazanin"/>
          <w:color w:val="111111"/>
          <w:sz w:val="28"/>
          <w:szCs w:val="28"/>
          <w:rtl w:val="true"/>
          <w:lang w:bidi="fa-IR"/>
        </w:rPr>
        <w:t>.</w:t>
      </w:r>
    </w:p>
    <w:p>
      <w:pPr>
        <w:pStyle w:val="Heading3"/>
        <w:numPr>
          <w:ilvl w:val="2"/>
          <w:numId w:val="1"/>
        </w:numPr>
        <w:rPr/>
      </w:pPr>
      <w:bookmarkStart w:id="23" w:name="__RefHeading___Toc2288664_373438147"/>
      <w:bookmarkStart w:id="24" w:name="_Toc9"/>
      <w:bookmarkEnd w:id="23"/>
      <w:r>
        <w:rPr>
          <w:rtl w:val="true"/>
        </w:rPr>
        <w:t>طريق ديگر حديث‌</w:t>
      </w:r>
      <w:bookmarkEnd w:id="24"/>
    </w:p>
    <w:p>
      <w:pPr>
        <w:pStyle w:val="Heading4"/>
        <w:numPr>
          <w:ilvl w:val="3"/>
          <w:numId w:val="1"/>
        </w:numPr>
        <w:rPr/>
      </w:pPr>
      <w:bookmarkStart w:id="25" w:name="__RefHeading___Toc2288666_373438147"/>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البته، اين روايت را مرحوم نعماني، به سه طريق ديگر، از مالك بن اعين جهني، از امام محمد باقرعليه السلام در كتاب خود آورده و نقل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محمّدبن رباح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عيسي الحسيني، عن الحسن بن علي بن أبي حمزة، عن أبيه، عن مالك بن أعين الجهني، عن أبي جعفر الباقرعليه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رايةِ القائم‌عليه السلام صاحُبها طاغوت</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عليّ بن الحسين، عن ابن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الباقرعليه السلام مثله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علي بن أحمد البند نيجي، عن عبيدالله بن موسي العلوي، عن عليّ بن ابراهيم بن هاشم، عن أبيه، عن عبدالله بن المغيرة، عن عبدالله بن مسكان،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الباقرعليه السلام مثله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288668_373438147"/>
      <w:bookmarkStart w:id="28" w:name="_Toc11"/>
      <w:bookmarkEnd w:id="27"/>
      <w:r>
        <w:rPr>
          <w:rtl w:val="true"/>
        </w:rPr>
        <w:t>بررسي طريق اول نعماني‌</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حمزه‌ي 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بنيان گذاران مذهب انحرافي وقفيه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أبي حمزه لعنه الله، أصل الوقف و أشد الخلق عداوةً للولي من بعد أبي ابراهيم‌عليه السلام؛ </w:t>
      </w:r>
      <w:r>
        <w:rPr>
          <w:rStyle w:val="FootnoteAnchor"/>
          <w:rtl w:val="true"/>
        </w:rPr>
        <w:footnoteReference w:id="32"/>
      </w:r>
      <w:r>
        <w:rPr>
          <w:rFonts w:ascii="IRNazanin" w:hAnsi="IRNazanin" w:eastAsia="IRNazanin"/>
          <w:color w:val="111111"/>
          <w:sz w:val="28"/>
          <w:sz w:val="28"/>
          <w:szCs w:val="28"/>
          <w:rtl w:val="true"/>
          <w:lang w:bidi="fa-IR"/>
        </w:rPr>
        <w:t>خدا، او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 واقفيه است او، دشمن‌ترين خلق نسبت به علي بن موسي الرضا، امام بعد از حضرت كاظم‌عليه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علّامه‌ي حلي،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بسيار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نقل علي بن حسن فضال، دروغگو و متهم است</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مرحوم آقاي خويي، شش وجه براي اثبات وثاقت او نقل</w:t>
      </w:r>
      <w:bookmarkStart w:id="29" w:name="pg1139_6733"/>
    </w:p>
    <w:p>
      <w:pPr>
        <w:pStyle w:val="BookText"/>
        <w:rPr/>
      </w:pPr>
      <w:bookmarkEnd w:id="29"/>
      <w:r>
        <w:rPr>
          <w:rFonts w:ascii="Amiri" w:hAnsi="Amiri" w:eastAsia="Amiri" w:cs="Amiri"/>
          <w:color w:val="111111"/>
          <w:sz w:val="28"/>
          <w:sz w:val="28"/>
          <w:szCs w:val="28"/>
          <w:rtl w:val="true"/>
          <w:lang w:bidi="ar-SA"/>
        </w:rPr>
        <w:t>مي‌كند و در ابتدا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اين است كه ايشان،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الحكم بوثاقته و بالنتيجة يعامل معه معاملة الضعف؛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نيست ما حكم به وثاقت او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با او، معامله‌ي ضعيف مي‌شود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براي رعايت اختصار، به بررسي همين شخص، در اين سند بسنده مي‌كنيم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288670_373438147"/>
      <w:bookmarkStart w:id="31" w:name="_Toc12"/>
      <w:bookmarkEnd w:id="30"/>
      <w:r>
        <w:rPr>
          <w:rtl w:val="true"/>
        </w:rPr>
        <w:t>بررسي طريق دوم نعماني‌</w:t>
      </w:r>
      <w:bookmarkEnd w:id="31"/>
    </w:p>
    <w:p>
      <w:pPr>
        <w:pStyle w:val="BookText"/>
        <w:rPr/>
      </w:pPr>
      <w:r>
        <w:rPr>
          <w:rFonts w:ascii="Amiri" w:hAnsi="Amiri" w:eastAsia="Amiri" w:cs="Amiri"/>
          <w:color w:val="111111"/>
          <w:sz w:val="28"/>
          <w:sz w:val="28"/>
          <w:szCs w:val="28"/>
          <w:rtl w:val="true"/>
          <w:lang w:bidi="ar-SA"/>
        </w:rPr>
        <w:t xml:space="preserve">در سند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علاوه بر اين كه از ضعفا، روايات كثيري را نقل مي‌كند، نه وثاقت و نه عدالت‌اش ثابت نيست، بلكه طبق صريح ابن الغضائري، ضعيف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آقاي خويي‌قدس سره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لمْ تثبتْ وثاقته، و إنْ كان ضعفه لم يثبت أيضاً و تضعيف ابن الغضائري لا يعتمد عليه؛ لأنَّ نسبة الكتاب إليه 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وثاقت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 هر چند ضعف او هم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او از سوي ابن الغضائري، از نظر ما، قابل اعتماد نيست؛ چون، نسبت كتاب به او، براي ما ثابت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طريق نيز ضعيف يا موارد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رعايت اختصار، از بررسي افراد ديگر اين سند نيز، خودداري مي‌كنيم</w:t>
      </w:r>
      <w:r>
        <w:rPr>
          <w:rFonts w:eastAsia="IRNazanin" w:cs="IRNazanin"/>
          <w:color w:val="111111"/>
          <w:sz w:val="28"/>
          <w:szCs w:val="28"/>
          <w:rtl w:val="true"/>
          <w:lang w:bidi="fa-IR"/>
        </w:rPr>
        <w:t>.</w:t>
      </w:r>
    </w:p>
    <w:p>
      <w:pPr>
        <w:pStyle w:val="Heading4"/>
        <w:numPr>
          <w:ilvl w:val="3"/>
          <w:numId w:val="1"/>
        </w:numPr>
        <w:rPr/>
      </w:pPr>
      <w:bookmarkStart w:id="32" w:name="__RefHeading___Toc2288672_373438147"/>
      <w:bookmarkStart w:id="33" w:name="_Toc13"/>
      <w:bookmarkEnd w:id="32"/>
      <w:r>
        <w:rPr>
          <w:rtl w:val="true"/>
        </w:rPr>
        <w:t>بررسي طريق سوم نعماني‌</w:t>
      </w:r>
      <w:bookmarkEnd w:id="33"/>
    </w:p>
    <w:p>
      <w:pPr>
        <w:pStyle w:val="BookText"/>
        <w:rPr/>
      </w:pPr>
      <w:r>
        <w:rPr>
          <w:rFonts w:ascii="IRNazanin" w:hAnsi="IRNazanin" w:eastAsia="IRNazanin"/>
          <w:color w:val="111111"/>
          <w:sz w:val="28"/>
          <w:sz w:val="28"/>
          <w:szCs w:val="28"/>
          <w:rtl w:val="true"/>
          <w:lang w:bidi="fa-IR"/>
        </w:rPr>
        <w:t xml:space="preserve">در سند آن،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أحمد بندنيجي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ضعيف و تناقض‌گو است، و به گفته‌هاي او توجّه نمي‌شود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علّامه‌ي حلي نيز او را در قسم دوم رجال اش آورده و او را ضعيف و تناقض‌گو شمرده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يلتفت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تمامي طرق اين روايت، مورد اشكال سندي است و هرگز قابل اعتماد نيست</w:t>
      </w:r>
      <w:r>
        <w:rPr>
          <w:rFonts w:eastAsia="IRNazanin" w:cs="IRNazanin"/>
          <w:color w:val="111111"/>
          <w:sz w:val="28"/>
          <w:szCs w:val="28"/>
          <w:rtl w:val="true"/>
          <w:lang w:bidi="fa-IR"/>
        </w:rPr>
        <w:t>.</w:t>
      </w:r>
    </w:p>
    <w:p>
      <w:pPr>
        <w:pStyle w:val="Heading4"/>
        <w:numPr>
          <w:ilvl w:val="3"/>
          <w:numId w:val="1"/>
        </w:numPr>
        <w:rPr/>
      </w:pPr>
      <w:bookmarkStart w:id="34" w:name="__RefHeading___Toc2288674_373438147"/>
      <w:bookmarkStart w:id="35" w:name="_Toc14"/>
      <w:bookmarkEnd w:id="34"/>
      <w:r>
        <w:rPr>
          <w:rtl w:val="true"/>
        </w:rPr>
        <w:t>بررسي دلالت روايت‌</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 دعوت به 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دعوت مردم براي به پا داشتن حق و باز گردانيدن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امور حكومت به دست اهل بيت‌عليهم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دعوتي، مورد تأييد امامان معصوم‌عليهم السلام هست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باطل؛ دعوت مردم براي مطرح كردن خود، دعوت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قسم دوم است در مقابل قسم اوّل؛ يعني، دعوت، در عرض و مقابلِ دعوتِ اهل بيت‌عليهم السلام باشد، نه در طول و مسير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قيام‌هاي بر مبناي دفاع از حريم اهل بيت و دعوت مردم به سوي آنان، تخصّصاً، از اين روايت،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ظهور دارد در بطلان تمامي قيام‌هاي قبل قيام قائم‌عليه السلام؛ يعني ملاك بطلان، اين نيست كه دعوت براي خود و در عرض نهضت امامان معصوم‌عليهم السلام باشد، بلكه ملاك، قبل بودن نهضت و سبقت گرفتن آن بر قيام حضرت مهدي‌عليه السلام است، خواه دعوت، حق باشد و يا دعوت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جواب، دو پاسخ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قوي اين است كه روايت، ناظر به بعضي از قيام‌هاي آن زمان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قضيه‌ي خارجيه‌ي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ناظر به تمامي قيام‌ها نيست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قضيه‌ي حقيقيه‌ي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ملاك حق و باطل بودن، همان دعوت به طريق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امام محمد باقرعليه السلام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يدعو الي الحق و إلي طريق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روايات بسياري از امامان معصوم‌عليهم السلام وارد شده كه بعضي از قيام‌ها را كه بعدها و پيش از ظهور امام زمان اتّفاق مي‌افتد، كاملاً، تأييد كرده‌اند و مردم را براي ملحق شدن به آنان، تشويق مي‌كند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اگر آن روايت را قضيه خارجيه ندانيم، با اين روايات، تعارض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دو روايت، اشاره مي‌كنيم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الرايات راية أهدي من راية اليماني هي راية هديً؛ لأنّه يدعو إلي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اليماني حرم بيع السلاح علي الناس، و كلِّ مسلم، و إذا خرج اليماني فانهض إليه؛ فإنّ رايته راية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لمسلم أنْ يلتوي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فهو من أهل النار؛ لأنه يدعو إلي الحق و إلي طريق مستقيم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ميان اين قيام‌ها، قيامي هدايت كننده‌تر از پرچم يماني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پرچم هدايت است؛ چون، مردم را به سوي حضرت قائم‌عليه السلام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 كه يماني قيام كرد، فروش سلاح به ديگران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سوي او بشتابيد؛ چون، پرچم او، پرچم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احدي سرپيچي و تخلّف از او، جايز نيست و هر كسي كه تخلّف كند، اهل جهنم است؛ چون، يماني، به سوي حق و راه مستقيم دعوت مي‌كند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بقوم قد خرجوا بالمشرق يطلبون الحق فلا يُعطَونه، ثم يطلبونه فلا يعطونه، فإذا رأوا ذلك، وضعوا سيوفهم علي عواتقهم، فُيعطَون ما سألوه، فلا يقبلونه حتّي يقوموا، و لا يدفعونها إلّا إلي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گروهي قومي را مي‌بينم كه از سمت مشرق قيام مي‌كنند و حق را مي‌طلبند، ولي به آنان داده نمي‌شود، دوباره در خواست حق مي‌كنند، ولي باز هم به آنان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اين گونه ببينند، دست به شمشير اسلحه برده و قيام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هر چند بخواهند، داده مي‌شود يعني به خواسته آنان رسيدگي مي‌شود ولي آنان نمي‌پذيرند و به قيام و نهضت خود ادامه مي‌دهند و زمام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را در دست گيرند و به احدي جز حضرت مهدي نمي‌سپارند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كشته‌هايي اينان شهيد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نكته‌ي جالب توجّه در اين روايت، اين است كه از كشته‌ها و مقتولان در اين قيام،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اين، به معناي تأييد كامل امام معصوم از اين نهضت‌ها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باره‌ي وظيفه‌ي شيعيان در مقابل قيام مختار از امام زين العابدين‌عليه السلام سؤال شد،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عبداً زنجياً تعصب لنا اهل البيت، لوجب علي الناس موازرته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اگر برده‌اي زنگي، براي ياري ما، عصابه به پيشاني بست و آهنگ قيام كرد، بر مردم، كمك و ياري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تو، محمّد بن حنفيه ولايت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مسئله‌ي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سپردم، پس هر گونه كه صلاح مي‌داني،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افراد، اين فرمايش را از امام 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زين العابدين‌عليه السلام و محمّد بن حنفيه، به ما اذن دادند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از امام صادق‌عليه السلام وارد شده كه قيام زيد شهيد را كاملاً تأييد مي‌كند، همانند روايت عيص بن القاسم از امام صادق‌عليه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زيداً كان عالماً و كان صدوقاً و لمْ يدعكم إلي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دعاكم إلي الرضا من آل محمدصلي الله عليه وآله و لَوَ ظهر لوفي بما دعاكم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الي سلطان مجتمع لينقضه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قيام زيد را به رخ نكشيد؛ زيرا، او، مردي عالم و راستگو بود و شما را به سوي خود دعوت نكرد، بلكه به سوي آل محمدعليه السلام و رضايت آنان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اگر پيروز مي‌شد، به وعده‌ي خود وفا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سلطنت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حكومتي قيام كرد كه محكم و يك پارچه بود و مي‌خواست اركان آن را متلاشي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مجلسي،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به اصطلاح، تأييد كرده است، و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إلي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براي علّت عدم پيروزي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لم يظفر</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مناقشه‌ي دوم اين روايت، با روايات بسياري كه در باب امر به معروف و نهي از منكر و باب جهاد وارد شده است، منافات دارد</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بويژه آن كه بعضي از فقهاي معاصر، در دوران غيبت حضرت مهدي‌عليه السلام جهاد ابتدايي را نيز واجب و فتوا به وجوب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خويي در ملحقات منهاج الصالحين چنين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ذلك أنّ الظاهر عدم سقوط وجوب الجهاد في عصر الغيبة و ثبوُتُه في كافة الأعصار لدي توفّر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زمن الغيبة، منوط بتشخيص المسلمين من ذوي الخبرة في الموضوع أنَّ في الجهاد معهم مصلحة للإسلام علي أساس أنّ لديهم قوة كافية من حيث العدد و العُدة لدحرهم بشكلٍ لا يحتمل عادةً أنْ يخسروا في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هذه الشرائطُ عندَهم و وجبَ عليهم الجهادُ و المقاتله وجب عليهم الجهاد والمقاتلة معهم؛</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گذشته، چنين به دست آمد كه ظاهراً، وجوب جهاد در دوران غيبت، ساقط نمي‌شود، بلكه در تمامي زمان‌ها، جهاد، واجب است، البته، در صورت جمع بودن شرايط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منوط است به تشخيص اهل خبره كارشناسان مسائل نظامي و آن كه جهاد، به مصلحت اسلام است و نيرو و سلاح كافي براي راندن دشمن وجود دارد، به گونه‌اي كه هرگز احتمال شكست در جنگ متصور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شرايط جمع است، جهاد و جنگ با آنان دشمن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ورد في عدة من الروايات من حرمة الخروج بالسيف علي الحكّام و خلفاء الجور قبلَ قيام قائمنا، صلوات الله عليه، فهو أجنبي عن مسألتنا هذه و هي الجهاد مع الكفار رأساً، و لا يرتبط بها نهائياً؛</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رواياتي كه در باره‌ي حرمت قيام مسلّحانه عليه حكّام و خلفاي ظلم، بيش از قيام حضرت قائم ما وارد شده، پس ربطي به بحث ما ندارد و بيگانه از موضوع ما جهاد با كفار است و آن جهاد مستقيم با كفّار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مرحوم خويي، اصل روايات را پذيرفته و دلالت آن را نيز قبول كرده، امّا مورد آن را قيام عليه حكومت‌هاي به ظاهر اسلامي مي‌داند، نه كفار، ولي با بررسي گسترده‌ي سند و دلالت روايات، ظاهراً، جواب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مناقشه سوم، احتمال مي‌رود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ترفع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حضرت مهدي‌عليه السلام نباشد، بلكه يك يك ائمه‌ي طاهرين‌عليهم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همه‌ي ائمه‌ي اطهارعليهم السلام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كليني هم در كتاب كافي، بابي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الأئمة كلهم قائمون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و سه روايت را هم در آنجا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خديجة، عن أبي عبدالله‌عليه السلام أنّه سئل عن القائم،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قائم بأمر الله، واحد بعد واحد، حتّي يحبي صاحب السيف</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همه‌ي ما، قائم به امر خداوند هستيم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ابا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نهدي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صاحب السيف و وارث السيف</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به حَكَم كه در باره‌ي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به امر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مي‌كرد،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همه‌ي ما ائمه قائم به امر و دستور خداوند هستيم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البته، اين مناقشه را بعضي از اعلام </w:t>
      </w:r>
      <w:r>
        <w:rPr>
          <w:rStyle w:val="FootnoteAnchor"/>
          <w:rtl w:val="true"/>
        </w:rPr>
        <w:footnoteReference w:id="48"/>
      </w:r>
      <w:r>
        <w:rPr>
          <w:rFonts w:ascii="IRNazanin" w:hAnsi="IRNazanin" w:eastAsia="IRNazanin"/>
          <w:color w:val="111111"/>
          <w:sz w:val="28"/>
          <w:sz w:val="28"/>
          <w:szCs w:val="28"/>
          <w:rtl w:val="true"/>
          <w:lang w:bidi="fa-IR"/>
        </w:rPr>
        <w:t>معاصر فرموده‌اند، ولي گمان مي‌رود كه اين، نه تنها دفع اشكال نمي‌كند، بلكه دامنه‌ي اشكال را گسترده‌تر مي‌كند، زيرا، معناي آن، زير سؤال بردن تمامي قيام‌ها در تمامي دورانِ حضور ائمه‌ي طاهرين‌عليهم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مناقشات اول و دوم بسنده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روايات ديگري را در وسائل و مستدرك نقل كرده‌اند، ولي يا صراحت در موضوع ندارد و يا مبتلا به اِشكال سندي است و يا بالاخره توجيهات واضح و روشني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تنها رواياتي كه خيلي صراحت در موضوع داشت، همين دو روايت كافي و نعماني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 همين دو روايت را مورد استناد قرار مي‌دهند و لذا از پرداختن به ساير نصوص، خودداري مي‌كنيم، مگر اين كه بعدها، نيازي در مطرح كردن ببينيم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كافي مولي صالح مازندراني،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7910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منهاج الصالحين،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5041</Words>
  <Characters>20183</Characters>
  <CharactersWithSpaces>25137</CharactersWithSpaces>
  <Paragraphs>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2026-08-16T12:20:27Z</dcterms:created>
  <dc:creator>ghaemiyeh.com</dc:creator>
  <dc:description/>
  <dc:language>en-US</dc:language>
  <cp:lastModifiedBy/>
  <dcterms:modified xsi:type="dcterms:W3CDTF">2026-08-16T15:50:29Z</dcterms:modified>
  <cp:revision>1</cp:revision>
  <dc:subject/>
  <dc:title>نهی از قیام در بوته نقد و تحلیل روایی</dc:title>
</cp:coreProperties>
</file>

<file path=docProps/custom.xml><?xml version="1.0" encoding="utf-8"?>
<Properties xmlns="http://schemas.openxmlformats.org/officeDocument/2006/custom-properties" xmlns:vt="http://schemas.openxmlformats.org/officeDocument/2006/docPropsVTypes"/>
</file>