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الاعتقادات للشیخ الصدوق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710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09712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9714_373438147">
            <w:r>
              <w:rPr>
                <w:webHidden/>
                <w:rStyle w:val="IndexLink"/>
                <w:rtl w:val="true"/>
              </w:rPr>
              <w:t>[</w:t>
            </w:r>
            <w:r>
              <w:rPr>
                <w:rStyle w:val="IndexLink"/>
                <w:rtl w:val="true"/>
              </w:rPr>
              <w:t>مقدمة فی منهج التحقیق حول الکتاب</w:t>
            </w:r>
            <w:r>
              <w:rPr>
                <w:rStyle w:val="IndexLink"/>
                <w:rtl w:val="true"/>
              </w:rPr>
              <w:t>]</w:t>
              <w:tab/>
            </w:r>
            <w:r>
              <w:rPr>
                <w:rStyle w:val="IndexLink"/>
              </w:rPr>
              <w:t>7</w:t>
            </w:r>
          </w:hyperlink>
        </w:p>
        <w:p>
          <w:pPr>
            <w:pStyle w:val="Contents2"/>
            <w:tabs>
              <w:tab w:val="clear" w:pos="8743"/>
              <w:tab w:val="right" w:pos="9026" w:leader="dot"/>
            </w:tabs>
            <w:rPr/>
          </w:pPr>
          <w:hyperlink w:anchor="__RefHeading___Toc709716_373438147">
            <w:r>
              <w:rPr>
                <w:webHidden/>
                <w:rStyle w:val="IndexLink"/>
                <w:rtl w:val="true"/>
              </w:rPr>
              <w:t>[</w:t>
            </w:r>
            <w:r>
              <w:rPr>
                <w:rStyle w:val="IndexLink"/>
              </w:rPr>
              <w:t>1</w:t>
            </w:r>
            <w:r>
              <w:rPr>
                <w:rStyle w:val="IndexLink"/>
                <w:rtl w:val="true"/>
              </w:rPr>
              <w:t>]</w:t>
            </w:r>
            <w:r>
              <w:rPr>
                <w:rStyle w:val="IndexLink"/>
                <w:rtl w:val="true"/>
              </w:rPr>
              <w:t>باب فی صفة اعتقاد الإمامیة فی التوحید</w:t>
            </w:r>
            <w:r>
              <w:rPr>
                <w:rStyle w:val="IndexLink"/>
                <w:rtl w:val="true"/>
              </w:rPr>
              <w:tab/>
            </w:r>
            <w:r>
              <w:rPr>
                <w:rStyle w:val="IndexLink"/>
              </w:rPr>
              <w:t>25</w:t>
            </w:r>
          </w:hyperlink>
        </w:p>
        <w:p>
          <w:pPr>
            <w:pStyle w:val="Contents2"/>
            <w:tabs>
              <w:tab w:val="clear" w:pos="8743"/>
              <w:tab w:val="right" w:pos="9026" w:leader="dot"/>
            </w:tabs>
            <w:rPr/>
          </w:pPr>
          <w:hyperlink w:anchor="__RefHeading___Toc709718_373438147">
            <w:r>
              <w:rPr>
                <w:webHidden/>
                <w:rStyle w:val="IndexLink"/>
                <w:rtl w:val="true"/>
              </w:rPr>
              <w:t>[</w:t>
            </w:r>
            <w:r>
              <w:rPr>
                <w:rStyle w:val="IndexLink"/>
              </w:rPr>
              <w:t>2</w:t>
            </w:r>
            <w:r>
              <w:rPr>
                <w:rStyle w:val="IndexLink"/>
                <w:rtl w:val="true"/>
              </w:rPr>
              <w:t>]</w:t>
            </w:r>
            <w:r>
              <w:rPr>
                <w:rStyle w:val="IndexLink"/>
                <w:rtl w:val="true"/>
              </w:rPr>
              <w:t>باب الاعتقاد فی صفات الذات و صفات الأفعال</w:t>
            </w:r>
            <w:r>
              <w:rPr>
                <w:rStyle w:val="IndexLink"/>
                <w:rtl w:val="true"/>
              </w:rPr>
              <w:tab/>
            </w:r>
            <w:r>
              <w:rPr>
                <w:rStyle w:val="IndexLink"/>
              </w:rPr>
              <w:t>31</w:t>
            </w:r>
          </w:hyperlink>
        </w:p>
        <w:p>
          <w:pPr>
            <w:pStyle w:val="Contents2"/>
            <w:tabs>
              <w:tab w:val="clear" w:pos="8743"/>
              <w:tab w:val="right" w:pos="9026" w:leader="dot"/>
            </w:tabs>
            <w:rPr/>
          </w:pPr>
          <w:hyperlink w:anchor="__RefHeading___Toc709720_373438147">
            <w:r>
              <w:rPr>
                <w:webHidden/>
                <w:rStyle w:val="IndexLink"/>
                <w:rtl w:val="true"/>
              </w:rPr>
              <w:t>[</w:t>
            </w:r>
            <w:r>
              <w:rPr>
                <w:rStyle w:val="IndexLink"/>
              </w:rPr>
              <w:t>3</w:t>
            </w:r>
            <w:r>
              <w:rPr>
                <w:rStyle w:val="IndexLink"/>
                <w:rtl w:val="true"/>
              </w:rPr>
              <w:t>]</w:t>
            </w:r>
            <w:r>
              <w:rPr>
                <w:rStyle w:val="IndexLink"/>
                <w:rtl w:val="true"/>
              </w:rPr>
              <w:t>باب الاعتقاد فی التکلیف</w:t>
            </w:r>
            <w:r>
              <w:rPr>
                <w:rStyle w:val="IndexLink"/>
                <w:rtl w:val="true"/>
              </w:rPr>
              <w:tab/>
            </w:r>
            <w:r>
              <w:rPr>
                <w:rStyle w:val="IndexLink"/>
              </w:rPr>
              <w:t>32</w:t>
            </w:r>
          </w:hyperlink>
        </w:p>
        <w:p>
          <w:pPr>
            <w:pStyle w:val="Contents2"/>
            <w:tabs>
              <w:tab w:val="clear" w:pos="8743"/>
              <w:tab w:val="right" w:pos="9026" w:leader="dot"/>
            </w:tabs>
            <w:rPr/>
          </w:pPr>
          <w:hyperlink w:anchor="__RefHeading___Toc709722_373438147">
            <w:r>
              <w:rPr>
                <w:webHidden/>
                <w:rStyle w:val="IndexLink"/>
                <w:rtl w:val="true"/>
              </w:rPr>
              <w:t>[</w:t>
            </w:r>
            <w:r>
              <w:rPr>
                <w:rStyle w:val="IndexLink"/>
              </w:rPr>
              <w:t>4</w:t>
            </w:r>
            <w:r>
              <w:rPr>
                <w:rStyle w:val="IndexLink"/>
                <w:rtl w:val="true"/>
              </w:rPr>
              <w:t>]</w:t>
            </w:r>
            <w:r>
              <w:rPr>
                <w:rStyle w:val="IndexLink"/>
                <w:rtl w:val="true"/>
              </w:rPr>
              <w:t>باب الاعتقاد فی أفعال العباد</w:t>
            </w:r>
            <w:r>
              <w:rPr>
                <w:rStyle w:val="IndexLink"/>
                <w:rtl w:val="true"/>
              </w:rPr>
              <w:tab/>
            </w:r>
            <w:r>
              <w:rPr>
                <w:rStyle w:val="IndexLink"/>
              </w:rPr>
              <w:t>33</w:t>
            </w:r>
          </w:hyperlink>
        </w:p>
        <w:p>
          <w:pPr>
            <w:pStyle w:val="Contents2"/>
            <w:tabs>
              <w:tab w:val="clear" w:pos="8743"/>
              <w:tab w:val="right" w:pos="9026" w:leader="dot"/>
            </w:tabs>
            <w:rPr/>
          </w:pPr>
          <w:hyperlink w:anchor="__RefHeading___Toc709724_373438147">
            <w:r>
              <w:rPr>
                <w:webHidden/>
                <w:rStyle w:val="IndexLink"/>
                <w:rtl w:val="true"/>
              </w:rPr>
              <w:t>[</w:t>
            </w:r>
            <w:r>
              <w:rPr>
                <w:rStyle w:val="IndexLink"/>
              </w:rPr>
              <w:t>5</w:t>
            </w:r>
            <w:r>
              <w:rPr>
                <w:rStyle w:val="IndexLink"/>
                <w:rtl w:val="true"/>
              </w:rPr>
              <w:t>]</w:t>
            </w:r>
            <w:r>
              <w:rPr>
                <w:rStyle w:val="IndexLink"/>
                <w:rtl w:val="true"/>
              </w:rPr>
              <w:t>باب الاعتقاد فی نفی الجبر و التفویض</w:t>
            </w:r>
            <w:r>
              <w:rPr>
                <w:rStyle w:val="IndexLink"/>
                <w:rtl w:val="true"/>
              </w:rPr>
              <w:tab/>
            </w:r>
            <w:r>
              <w:rPr>
                <w:rStyle w:val="IndexLink"/>
              </w:rPr>
              <w:t>33</w:t>
            </w:r>
          </w:hyperlink>
        </w:p>
        <w:p>
          <w:pPr>
            <w:pStyle w:val="Contents2"/>
            <w:tabs>
              <w:tab w:val="clear" w:pos="8743"/>
              <w:tab w:val="right" w:pos="9026" w:leader="dot"/>
            </w:tabs>
            <w:rPr/>
          </w:pPr>
          <w:hyperlink w:anchor="__RefHeading___Toc709726_373438147">
            <w:r>
              <w:rPr>
                <w:webHidden/>
                <w:rStyle w:val="IndexLink"/>
                <w:rtl w:val="true"/>
              </w:rPr>
              <w:t>[</w:t>
            </w:r>
            <w:r>
              <w:rPr>
                <w:rStyle w:val="IndexLink"/>
              </w:rPr>
              <w:t>6</w:t>
            </w:r>
            <w:r>
              <w:rPr>
                <w:rStyle w:val="IndexLink"/>
                <w:rtl w:val="true"/>
              </w:rPr>
              <w:t xml:space="preserve">] </w:t>
            </w:r>
            <w:r>
              <w:rPr>
                <w:rStyle w:val="IndexLink"/>
                <w:rtl w:val="true"/>
              </w:rPr>
              <w:t>باب الاعتقاد فی الارادة و المشیئة</w:t>
            </w:r>
            <w:r>
              <w:rPr>
                <w:rStyle w:val="IndexLink"/>
                <w:rtl w:val="true"/>
              </w:rPr>
              <w:tab/>
            </w:r>
            <w:r>
              <w:rPr>
                <w:rStyle w:val="IndexLink"/>
              </w:rPr>
              <w:t>34</w:t>
            </w:r>
          </w:hyperlink>
        </w:p>
        <w:p>
          <w:pPr>
            <w:pStyle w:val="Contents2"/>
            <w:tabs>
              <w:tab w:val="clear" w:pos="8743"/>
              <w:tab w:val="right" w:pos="9026" w:leader="dot"/>
            </w:tabs>
            <w:rPr/>
          </w:pPr>
          <w:hyperlink w:anchor="__RefHeading___Toc709728_373438147">
            <w:r>
              <w:rPr>
                <w:webHidden/>
                <w:rStyle w:val="IndexLink"/>
                <w:rtl w:val="true"/>
              </w:rPr>
              <w:t>[</w:t>
            </w:r>
            <w:r>
              <w:rPr>
                <w:rStyle w:val="IndexLink"/>
              </w:rPr>
              <w:t>7</w:t>
            </w:r>
            <w:r>
              <w:rPr>
                <w:rStyle w:val="IndexLink"/>
                <w:rtl w:val="true"/>
              </w:rPr>
              <w:t>]</w:t>
            </w:r>
            <w:r>
              <w:rPr>
                <w:rStyle w:val="IndexLink"/>
                <w:rtl w:val="true"/>
              </w:rPr>
              <w:t>باب الاعتقاد فی القضاء و القدر</w:t>
            </w:r>
            <w:r>
              <w:rPr>
                <w:rStyle w:val="IndexLink"/>
                <w:rtl w:val="true"/>
              </w:rPr>
              <w:tab/>
            </w:r>
            <w:r>
              <w:rPr>
                <w:rStyle w:val="IndexLink"/>
              </w:rPr>
              <w:t>38</w:t>
            </w:r>
          </w:hyperlink>
        </w:p>
        <w:p>
          <w:pPr>
            <w:pStyle w:val="Contents2"/>
            <w:tabs>
              <w:tab w:val="clear" w:pos="8743"/>
              <w:tab w:val="right" w:pos="9026" w:leader="dot"/>
            </w:tabs>
            <w:rPr/>
          </w:pPr>
          <w:hyperlink w:anchor="__RefHeading___Toc709730_373438147">
            <w:r>
              <w:rPr>
                <w:webHidden/>
                <w:rStyle w:val="IndexLink"/>
                <w:rtl w:val="true"/>
              </w:rPr>
              <w:t>[</w:t>
            </w:r>
            <w:r>
              <w:rPr>
                <w:rStyle w:val="IndexLink"/>
              </w:rPr>
              <w:t>8</w:t>
            </w:r>
            <w:r>
              <w:rPr>
                <w:rStyle w:val="IndexLink"/>
                <w:rtl w:val="true"/>
              </w:rPr>
              <w:t>]</w:t>
            </w:r>
            <w:r>
              <w:rPr>
                <w:rStyle w:val="IndexLink"/>
                <w:rtl w:val="true"/>
              </w:rPr>
              <w:t>باب الاعتقاد فی الفطرة و الهدایة</w:t>
            </w:r>
            <w:r>
              <w:rPr>
                <w:rStyle w:val="IndexLink"/>
                <w:rtl w:val="true"/>
              </w:rPr>
              <w:tab/>
            </w:r>
            <w:r>
              <w:rPr>
                <w:rStyle w:val="IndexLink"/>
              </w:rPr>
              <w:t>40</w:t>
            </w:r>
          </w:hyperlink>
        </w:p>
        <w:p>
          <w:pPr>
            <w:pStyle w:val="Contents2"/>
            <w:tabs>
              <w:tab w:val="clear" w:pos="8743"/>
              <w:tab w:val="right" w:pos="9026" w:leader="dot"/>
            </w:tabs>
            <w:rPr/>
          </w:pPr>
          <w:hyperlink w:anchor="__RefHeading___Toc709732_373438147">
            <w:r>
              <w:rPr>
                <w:webHidden/>
                <w:rStyle w:val="IndexLink"/>
                <w:rtl w:val="true"/>
              </w:rPr>
              <w:t>[</w:t>
            </w:r>
            <w:r>
              <w:rPr>
                <w:rStyle w:val="IndexLink"/>
              </w:rPr>
              <w:t>9</w:t>
            </w:r>
            <w:r>
              <w:rPr>
                <w:rStyle w:val="IndexLink"/>
                <w:rtl w:val="true"/>
              </w:rPr>
              <w:t>]</w:t>
            </w:r>
            <w:r>
              <w:rPr>
                <w:rStyle w:val="IndexLink"/>
                <w:rtl w:val="true"/>
              </w:rPr>
              <w:t>باب الاعتقاد فی الاستطاعة</w:t>
            </w:r>
            <w:r>
              <w:rPr>
                <w:rStyle w:val="IndexLink"/>
                <w:rtl w:val="true"/>
              </w:rPr>
              <w:tab/>
            </w:r>
            <w:r>
              <w:rPr>
                <w:rStyle w:val="IndexLink"/>
              </w:rPr>
              <w:t>42</w:t>
            </w:r>
          </w:hyperlink>
        </w:p>
        <w:p>
          <w:pPr>
            <w:pStyle w:val="Contents2"/>
            <w:tabs>
              <w:tab w:val="clear" w:pos="8743"/>
              <w:tab w:val="right" w:pos="9026" w:leader="dot"/>
            </w:tabs>
            <w:rPr/>
          </w:pPr>
          <w:hyperlink w:anchor="__RefHeading___Toc709734_373438147">
            <w:r>
              <w:rPr>
                <w:webHidden/>
                <w:rStyle w:val="IndexLink"/>
                <w:rtl w:val="true"/>
              </w:rPr>
              <w:t>[</w:t>
            </w:r>
            <w:r>
              <w:rPr>
                <w:rStyle w:val="IndexLink"/>
              </w:rPr>
              <w:t>10</w:t>
            </w:r>
            <w:r>
              <w:rPr>
                <w:rStyle w:val="IndexLink"/>
                <w:rtl w:val="true"/>
              </w:rPr>
              <w:t>]</w:t>
            </w:r>
            <w:r>
              <w:rPr>
                <w:rStyle w:val="IndexLink"/>
                <w:rtl w:val="true"/>
              </w:rPr>
              <w:t>باب الاعتقاد فی البداء</w:t>
            </w:r>
            <w:r>
              <w:rPr>
                <w:rStyle w:val="IndexLink"/>
                <w:rtl w:val="true"/>
              </w:rPr>
              <w:tab/>
            </w:r>
            <w:r>
              <w:rPr>
                <w:rStyle w:val="IndexLink"/>
              </w:rPr>
              <w:t>44</w:t>
            </w:r>
          </w:hyperlink>
        </w:p>
        <w:p>
          <w:pPr>
            <w:pStyle w:val="Contents2"/>
            <w:tabs>
              <w:tab w:val="clear" w:pos="8743"/>
              <w:tab w:val="right" w:pos="9026" w:leader="dot"/>
            </w:tabs>
            <w:rPr/>
          </w:pPr>
          <w:hyperlink w:anchor="__RefHeading___Toc709736_373438147">
            <w:r>
              <w:rPr>
                <w:webHidden/>
                <w:rStyle w:val="IndexLink"/>
                <w:rtl w:val="true"/>
              </w:rPr>
              <w:t>[</w:t>
            </w:r>
            <w:r>
              <w:rPr>
                <w:rStyle w:val="IndexLink"/>
              </w:rPr>
              <w:t>11</w:t>
            </w:r>
            <w:r>
              <w:rPr>
                <w:rStyle w:val="IndexLink"/>
                <w:rtl w:val="true"/>
              </w:rPr>
              <w:t>]</w:t>
            </w:r>
            <w:r>
              <w:rPr>
                <w:rStyle w:val="IndexLink"/>
                <w:rtl w:val="true"/>
              </w:rPr>
              <w:t>باب الاعتقاد فی التناهی عن الجدل و المراء فی اللّه عزّ و جلّ و فی دینه</w:t>
            </w:r>
            <w:r>
              <w:rPr>
                <w:rStyle w:val="IndexLink"/>
                <w:rtl w:val="true"/>
              </w:rPr>
              <w:tab/>
            </w:r>
            <w:r>
              <w:rPr>
                <w:rStyle w:val="IndexLink"/>
              </w:rPr>
              <w:t>46</w:t>
            </w:r>
          </w:hyperlink>
        </w:p>
        <w:p>
          <w:pPr>
            <w:pStyle w:val="Contents2"/>
            <w:tabs>
              <w:tab w:val="clear" w:pos="8743"/>
              <w:tab w:val="right" w:pos="9026" w:leader="dot"/>
            </w:tabs>
            <w:rPr/>
          </w:pPr>
          <w:hyperlink w:anchor="__RefHeading___Toc709738_373438147">
            <w:r>
              <w:rPr>
                <w:webHidden/>
                <w:rStyle w:val="IndexLink"/>
                <w:rtl w:val="true"/>
              </w:rPr>
              <w:t>[</w:t>
            </w:r>
            <w:r>
              <w:rPr>
                <w:rStyle w:val="IndexLink"/>
              </w:rPr>
              <w:t>12</w:t>
            </w:r>
            <w:r>
              <w:rPr>
                <w:rStyle w:val="IndexLink"/>
                <w:rtl w:val="true"/>
              </w:rPr>
              <w:t>]</w:t>
            </w:r>
            <w:r>
              <w:rPr>
                <w:rStyle w:val="IndexLink"/>
                <w:rtl w:val="true"/>
              </w:rPr>
              <w:t>باب الاعتقاد فی اللوح و القلم</w:t>
            </w:r>
            <w:r>
              <w:rPr>
                <w:rStyle w:val="IndexLink"/>
                <w:rtl w:val="true"/>
              </w:rPr>
              <w:tab/>
            </w:r>
            <w:r>
              <w:rPr>
                <w:rStyle w:val="IndexLink"/>
              </w:rPr>
              <w:t>48</w:t>
            </w:r>
          </w:hyperlink>
        </w:p>
        <w:p>
          <w:pPr>
            <w:pStyle w:val="Contents2"/>
            <w:tabs>
              <w:tab w:val="clear" w:pos="8743"/>
              <w:tab w:val="right" w:pos="9026" w:leader="dot"/>
            </w:tabs>
            <w:rPr/>
          </w:pPr>
          <w:hyperlink w:anchor="__RefHeading___Toc709740_373438147">
            <w:r>
              <w:rPr>
                <w:webHidden/>
                <w:rStyle w:val="IndexLink"/>
                <w:rtl w:val="true"/>
              </w:rPr>
              <w:t>[</w:t>
            </w:r>
            <w:r>
              <w:rPr>
                <w:rStyle w:val="IndexLink"/>
              </w:rPr>
              <w:t>13</w:t>
            </w:r>
            <w:r>
              <w:rPr>
                <w:rStyle w:val="IndexLink"/>
                <w:rtl w:val="true"/>
              </w:rPr>
              <w:t>]</w:t>
            </w:r>
            <w:r>
              <w:rPr>
                <w:rStyle w:val="IndexLink"/>
                <w:rtl w:val="true"/>
              </w:rPr>
              <w:t xml:space="preserve">باب الاعتقاد فی الکرسی </w:t>
            </w:r>
            <w:r>
              <w:rPr>
                <w:rStyle w:val="IndexLink"/>
                <w:rtl w:val="true"/>
              </w:rPr>
              <w:t>.</w:t>
              <w:tab/>
            </w:r>
            <w:r>
              <w:rPr>
                <w:rStyle w:val="IndexLink"/>
              </w:rPr>
              <w:t>48</w:t>
            </w:r>
          </w:hyperlink>
        </w:p>
        <w:p>
          <w:pPr>
            <w:pStyle w:val="Contents2"/>
            <w:tabs>
              <w:tab w:val="clear" w:pos="8743"/>
              <w:tab w:val="right" w:pos="9026" w:leader="dot"/>
            </w:tabs>
            <w:rPr/>
          </w:pPr>
          <w:hyperlink w:anchor="__RefHeading___Toc709742_373438147">
            <w:r>
              <w:rPr>
                <w:webHidden/>
                <w:rStyle w:val="IndexLink"/>
                <w:rtl w:val="true"/>
              </w:rPr>
              <w:t>[</w:t>
            </w:r>
            <w:r>
              <w:rPr>
                <w:rStyle w:val="IndexLink"/>
              </w:rPr>
              <w:t>14</w:t>
            </w:r>
            <w:r>
              <w:rPr>
                <w:rStyle w:val="IndexLink"/>
                <w:rtl w:val="true"/>
              </w:rPr>
              <w:t>]</w:t>
            </w:r>
            <w:r>
              <w:rPr>
                <w:rStyle w:val="IndexLink"/>
                <w:rtl w:val="true"/>
              </w:rPr>
              <w:t>باب الاعتقاد فی العرش</w:t>
            </w:r>
            <w:r>
              <w:rPr>
                <w:rStyle w:val="IndexLink"/>
                <w:rtl w:val="true"/>
              </w:rPr>
              <w:tab/>
            </w:r>
            <w:r>
              <w:rPr>
                <w:rStyle w:val="IndexLink"/>
              </w:rPr>
              <w:t>49</w:t>
            </w:r>
          </w:hyperlink>
        </w:p>
        <w:p>
          <w:pPr>
            <w:pStyle w:val="Contents2"/>
            <w:tabs>
              <w:tab w:val="clear" w:pos="8743"/>
              <w:tab w:val="right" w:pos="9026" w:leader="dot"/>
            </w:tabs>
            <w:rPr/>
          </w:pPr>
          <w:hyperlink w:anchor="__RefHeading___Toc709744_373438147">
            <w:r>
              <w:rPr>
                <w:webHidden/>
                <w:rStyle w:val="IndexLink"/>
                <w:rtl w:val="true"/>
              </w:rPr>
              <w:t>[</w:t>
            </w:r>
            <w:r>
              <w:rPr>
                <w:rStyle w:val="IndexLink"/>
              </w:rPr>
              <w:t>15</w:t>
            </w:r>
            <w:r>
              <w:rPr>
                <w:rStyle w:val="IndexLink"/>
                <w:rtl w:val="true"/>
              </w:rPr>
              <w:t>]</w:t>
            </w:r>
            <w:r>
              <w:rPr>
                <w:rStyle w:val="IndexLink"/>
                <w:rtl w:val="true"/>
              </w:rPr>
              <w:t>باب الاعتقاد فی النفوس و الأرواح</w:t>
            </w:r>
            <w:r>
              <w:rPr>
                <w:rStyle w:val="IndexLink"/>
                <w:rtl w:val="true"/>
              </w:rPr>
              <w:tab/>
            </w:r>
            <w:r>
              <w:rPr>
                <w:rStyle w:val="IndexLink"/>
              </w:rPr>
              <w:t>51</w:t>
            </w:r>
          </w:hyperlink>
        </w:p>
        <w:p>
          <w:pPr>
            <w:pStyle w:val="Contents2"/>
            <w:tabs>
              <w:tab w:val="clear" w:pos="8743"/>
              <w:tab w:val="right" w:pos="9026" w:leader="dot"/>
            </w:tabs>
            <w:rPr/>
          </w:pPr>
          <w:hyperlink w:anchor="__RefHeading___Toc709746_373438147">
            <w:r>
              <w:rPr>
                <w:webHidden/>
                <w:rStyle w:val="IndexLink"/>
                <w:rtl w:val="true"/>
              </w:rPr>
              <w:t>[</w:t>
            </w:r>
            <w:r>
              <w:rPr>
                <w:rStyle w:val="IndexLink"/>
              </w:rPr>
              <w:t>16</w:t>
            </w:r>
            <w:r>
              <w:rPr>
                <w:rStyle w:val="IndexLink"/>
                <w:rtl w:val="true"/>
              </w:rPr>
              <w:t>]</w:t>
            </w:r>
            <w:r>
              <w:rPr>
                <w:rStyle w:val="IndexLink"/>
                <w:rtl w:val="true"/>
              </w:rPr>
              <w:t>باب الاعتقاد فی الموت</w:t>
            </w:r>
            <w:r>
              <w:rPr>
                <w:rStyle w:val="IndexLink"/>
                <w:rtl w:val="true"/>
              </w:rPr>
              <w:tab/>
            </w:r>
            <w:r>
              <w:rPr>
                <w:rStyle w:val="IndexLink"/>
              </w:rPr>
              <w:t>55</w:t>
            </w:r>
          </w:hyperlink>
        </w:p>
        <w:p>
          <w:pPr>
            <w:pStyle w:val="Contents2"/>
            <w:tabs>
              <w:tab w:val="clear" w:pos="8743"/>
              <w:tab w:val="right" w:pos="9026" w:leader="dot"/>
            </w:tabs>
            <w:rPr/>
          </w:pPr>
          <w:hyperlink w:anchor="__RefHeading___Toc709748_373438147">
            <w:r>
              <w:rPr>
                <w:webHidden/>
                <w:rStyle w:val="IndexLink"/>
                <w:rtl w:val="true"/>
              </w:rPr>
              <w:t>[</w:t>
            </w:r>
            <w:r>
              <w:rPr>
                <w:rStyle w:val="IndexLink"/>
              </w:rPr>
              <w:t>17</w:t>
            </w:r>
            <w:r>
              <w:rPr>
                <w:rStyle w:val="IndexLink"/>
                <w:rtl w:val="true"/>
              </w:rPr>
              <w:t>]</w:t>
            </w:r>
            <w:r>
              <w:rPr>
                <w:rStyle w:val="IndexLink"/>
                <w:rtl w:val="true"/>
              </w:rPr>
              <w:t>باب الاعتقاد فی المساءلة فی القبر</w:t>
            </w:r>
            <w:r>
              <w:rPr>
                <w:rStyle w:val="IndexLink"/>
                <w:rtl w:val="true"/>
              </w:rPr>
              <w:tab/>
            </w:r>
            <w:r>
              <w:rPr>
                <w:rStyle w:val="IndexLink"/>
              </w:rPr>
              <w:t>62</w:t>
            </w:r>
          </w:hyperlink>
        </w:p>
        <w:p>
          <w:pPr>
            <w:pStyle w:val="Contents2"/>
            <w:tabs>
              <w:tab w:val="clear" w:pos="8743"/>
              <w:tab w:val="right" w:pos="9026" w:leader="dot"/>
            </w:tabs>
            <w:rPr/>
          </w:pPr>
          <w:hyperlink w:anchor="__RefHeading___Toc709750_373438147">
            <w:r>
              <w:rPr>
                <w:webHidden/>
                <w:rStyle w:val="IndexLink"/>
                <w:rtl w:val="true"/>
              </w:rPr>
              <w:t>[</w:t>
            </w:r>
            <w:r>
              <w:rPr>
                <w:rStyle w:val="IndexLink"/>
              </w:rPr>
              <w:t>18</w:t>
            </w:r>
            <w:r>
              <w:rPr>
                <w:rStyle w:val="IndexLink"/>
                <w:rtl w:val="true"/>
              </w:rPr>
              <w:t>]</w:t>
            </w:r>
            <w:r>
              <w:rPr>
                <w:rStyle w:val="IndexLink"/>
                <w:rtl w:val="true"/>
              </w:rPr>
              <w:t>باب الاعتقاد فی الرجعة</w:t>
            </w:r>
            <w:r>
              <w:rPr>
                <w:rStyle w:val="IndexLink"/>
                <w:rtl w:val="true"/>
              </w:rPr>
              <w:tab/>
            </w:r>
            <w:r>
              <w:rPr>
                <w:rStyle w:val="IndexLink"/>
              </w:rPr>
              <w:t>64</w:t>
            </w:r>
          </w:hyperlink>
        </w:p>
        <w:p>
          <w:pPr>
            <w:pStyle w:val="Contents2"/>
            <w:tabs>
              <w:tab w:val="clear" w:pos="8743"/>
              <w:tab w:val="right" w:pos="9026" w:leader="dot"/>
            </w:tabs>
            <w:rPr/>
          </w:pPr>
          <w:hyperlink w:anchor="__RefHeading___Toc709752_373438147">
            <w:r>
              <w:rPr>
                <w:webHidden/>
                <w:rStyle w:val="IndexLink"/>
                <w:rtl w:val="true"/>
              </w:rPr>
              <w:t>[</w:t>
            </w:r>
            <w:r>
              <w:rPr>
                <w:rStyle w:val="IndexLink"/>
              </w:rPr>
              <w:t>19</w:t>
            </w:r>
            <w:r>
              <w:rPr>
                <w:rStyle w:val="IndexLink"/>
                <w:rtl w:val="true"/>
              </w:rPr>
              <w:t>]</w:t>
            </w:r>
            <w:r>
              <w:rPr>
                <w:rStyle w:val="IndexLink"/>
                <w:rtl w:val="true"/>
              </w:rPr>
              <w:t>باب الاعتقاد فی البعث بعد الموت</w:t>
            </w:r>
            <w:r>
              <w:rPr>
                <w:rStyle w:val="IndexLink"/>
                <w:rtl w:val="true"/>
              </w:rPr>
              <w:tab/>
            </w:r>
            <w:r>
              <w:rPr>
                <w:rStyle w:val="IndexLink"/>
              </w:rPr>
              <w:t>68</w:t>
            </w:r>
          </w:hyperlink>
        </w:p>
        <w:p>
          <w:pPr>
            <w:pStyle w:val="Contents2"/>
            <w:tabs>
              <w:tab w:val="clear" w:pos="8743"/>
              <w:tab w:val="right" w:pos="9026" w:leader="dot"/>
            </w:tabs>
            <w:rPr/>
          </w:pPr>
          <w:hyperlink w:anchor="__RefHeading___Toc709754_373438147">
            <w:r>
              <w:rPr>
                <w:webHidden/>
                <w:rStyle w:val="IndexLink"/>
                <w:rtl w:val="true"/>
              </w:rPr>
              <w:t>[</w:t>
            </w:r>
            <w:r>
              <w:rPr>
                <w:rStyle w:val="IndexLink"/>
              </w:rPr>
              <w:t>20</w:t>
            </w:r>
            <w:r>
              <w:rPr>
                <w:rStyle w:val="IndexLink"/>
                <w:rtl w:val="true"/>
              </w:rPr>
              <w:t>]</w:t>
            </w:r>
            <w:r>
              <w:rPr>
                <w:rStyle w:val="IndexLink"/>
                <w:rtl w:val="true"/>
              </w:rPr>
              <w:t>باب الاعتقاد فی الحوض</w:t>
            </w:r>
            <w:r>
              <w:rPr>
                <w:rStyle w:val="IndexLink"/>
                <w:rtl w:val="true"/>
              </w:rPr>
              <w:tab/>
            </w:r>
            <w:r>
              <w:rPr>
                <w:rStyle w:val="IndexLink"/>
              </w:rPr>
              <w:t>69</w:t>
            </w:r>
          </w:hyperlink>
        </w:p>
        <w:p>
          <w:pPr>
            <w:pStyle w:val="Contents2"/>
            <w:tabs>
              <w:tab w:val="clear" w:pos="8743"/>
              <w:tab w:val="right" w:pos="9026" w:leader="dot"/>
            </w:tabs>
            <w:rPr/>
          </w:pPr>
          <w:hyperlink w:anchor="__RefHeading___Toc709756_373438147">
            <w:r>
              <w:rPr>
                <w:webHidden/>
                <w:rStyle w:val="IndexLink"/>
                <w:rtl w:val="true"/>
              </w:rPr>
              <w:t>[</w:t>
            </w:r>
            <w:r>
              <w:rPr>
                <w:rStyle w:val="IndexLink"/>
              </w:rPr>
              <w:t>21</w:t>
            </w:r>
            <w:r>
              <w:rPr>
                <w:rStyle w:val="IndexLink"/>
                <w:rtl w:val="true"/>
              </w:rPr>
              <w:t>]</w:t>
            </w:r>
            <w:r>
              <w:rPr>
                <w:rStyle w:val="IndexLink"/>
                <w:rtl w:val="true"/>
              </w:rPr>
              <w:t>باب الاعتقاد فی الشفاعة</w:t>
            </w:r>
            <w:r>
              <w:rPr>
                <w:rStyle w:val="IndexLink"/>
                <w:rtl w:val="true"/>
              </w:rPr>
              <w:tab/>
            </w:r>
            <w:r>
              <w:rPr>
                <w:rStyle w:val="IndexLink"/>
              </w:rPr>
              <w:t>70</w:t>
            </w:r>
          </w:hyperlink>
        </w:p>
        <w:p>
          <w:pPr>
            <w:pStyle w:val="Contents2"/>
            <w:tabs>
              <w:tab w:val="clear" w:pos="8743"/>
              <w:tab w:val="right" w:pos="9026" w:leader="dot"/>
            </w:tabs>
            <w:rPr/>
          </w:pPr>
          <w:hyperlink w:anchor="__RefHeading___Toc709758_373438147">
            <w:r>
              <w:rPr>
                <w:webHidden/>
                <w:rStyle w:val="IndexLink"/>
                <w:rtl w:val="true"/>
              </w:rPr>
              <w:t>[</w:t>
            </w:r>
            <w:r>
              <w:rPr>
                <w:rStyle w:val="IndexLink"/>
              </w:rPr>
              <w:t>22</w:t>
            </w:r>
            <w:r>
              <w:rPr>
                <w:rStyle w:val="IndexLink"/>
                <w:rtl w:val="true"/>
              </w:rPr>
              <w:t>]</w:t>
            </w:r>
            <w:r>
              <w:rPr>
                <w:rStyle w:val="IndexLink"/>
                <w:rtl w:val="true"/>
              </w:rPr>
              <w:t>باب الاعتقاد فی الوعد و الوعید</w:t>
            </w:r>
            <w:r>
              <w:rPr>
                <w:rStyle w:val="IndexLink"/>
                <w:rtl w:val="true"/>
              </w:rPr>
              <w:tab/>
            </w:r>
            <w:r>
              <w:rPr>
                <w:rStyle w:val="IndexLink"/>
              </w:rPr>
              <w:t>71</w:t>
            </w:r>
          </w:hyperlink>
        </w:p>
        <w:p>
          <w:pPr>
            <w:pStyle w:val="Contents2"/>
            <w:tabs>
              <w:tab w:val="clear" w:pos="8743"/>
              <w:tab w:val="right" w:pos="9026" w:leader="dot"/>
            </w:tabs>
            <w:rPr/>
          </w:pPr>
          <w:hyperlink w:anchor="__RefHeading___Toc709760_373438147">
            <w:r>
              <w:rPr>
                <w:webHidden/>
                <w:rStyle w:val="IndexLink"/>
                <w:rtl w:val="true"/>
              </w:rPr>
              <w:t>[</w:t>
            </w:r>
            <w:r>
              <w:rPr>
                <w:rStyle w:val="IndexLink"/>
              </w:rPr>
              <w:t>23</w:t>
            </w:r>
            <w:r>
              <w:rPr>
                <w:rStyle w:val="IndexLink"/>
                <w:rtl w:val="true"/>
              </w:rPr>
              <w:t>]</w:t>
            </w:r>
            <w:r>
              <w:rPr>
                <w:rStyle w:val="IndexLink"/>
                <w:rtl w:val="true"/>
              </w:rPr>
              <w:t>باب الاعتقاد فیما یکتب علی العبد</w:t>
            </w:r>
            <w:r>
              <w:rPr>
                <w:rStyle w:val="IndexLink"/>
                <w:rtl w:val="true"/>
              </w:rPr>
              <w:tab/>
            </w:r>
            <w:r>
              <w:rPr>
                <w:rStyle w:val="IndexLink"/>
              </w:rPr>
              <w:t>72</w:t>
            </w:r>
          </w:hyperlink>
        </w:p>
        <w:p>
          <w:pPr>
            <w:pStyle w:val="Contents2"/>
            <w:tabs>
              <w:tab w:val="clear" w:pos="8743"/>
              <w:tab w:val="right" w:pos="9026" w:leader="dot"/>
            </w:tabs>
            <w:rPr/>
          </w:pPr>
          <w:hyperlink w:anchor="__RefHeading___Toc709762_373438147">
            <w:r>
              <w:rPr>
                <w:webHidden/>
                <w:rStyle w:val="IndexLink"/>
                <w:rtl w:val="true"/>
              </w:rPr>
              <w:t>[</w:t>
            </w:r>
            <w:r>
              <w:rPr>
                <w:rStyle w:val="IndexLink"/>
              </w:rPr>
              <w:t>24</w:t>
            </w:r>
            <w:r>
              <w:rPr>
                <w:rStyle w:val="IndexLink"/>
                <w:rtl w:val="true"/>
              </w:rPr>
              <w:t>]</w:t>
            </w:r>
            <w:r>
              <w:rPr>
                <w:rStyle w:val="IndexLink"/>
                <w:rtl w:val="true"/>
              </w:rPr>
              <w:t>باب الاعتقاد فی العدل</w:t>
            </w:r>
            <w:r>
              <w:rPr>
                <w:rStyle w:val="IndexLink"/>
                <w:rtl w:val="true"/>
              </w:rPr>
              <w:tab/>
            </w:r>
            <w:r>
              <w:rPr>
                <w:rStyle w:val="IndexLink"/>
              </w:rPr>
              <w:t>73</w:t>
            </w:r>
          </w:hyperlink>
        </w:p>
        <w:p>
          <w:pPr>
            <w:pStyle w:val="Contents2"/>
            <w:tabs>
              <w:tab w:val="clear" w:pos="8743"/>
              <w:tab w:val="right" w:pos="9026" w:leader="dot"/>
            </w:tabs>
            <w:rPr/>
          </w:pPr>
          <w:hyperlink w:anchor="__RefHeading___Toc709764_373438147">
            <w:r>
              <w:rPr>
                <w:webHidden/>
                <w:rStyle w:val="IndexLink"/>
                <w:rtl w:val="true"/>
              </w:rPr>
              <w:t>[</w:t>
            </w:r>
            <w:r>
              <w:rPr>
                <w:rStyle w:val="IndexLink"/>
              </w:rPr>
              <w:t>25</w:t>
            </w:r>
            <w:r>
              <w:rPr>
                <w:rStyle w:val="IndexLink"/>
                <w:rtl w:val="true"/>
              </w:rPr>
              <w:t>]</w:t>
            </w:r>
            <w:r>
              <w:rPr>
                <w:rStyle w:val="IndexLink"/>
                <w:rtl w:val="true"/>
              </w:rPr>
              <w:t>باب الاعتقاد فی الأعراف</w:t>
            </w:r>
            <w:r>
              <w:rPr>
                <w:rStyle w:val="IndexLink"/>
                <w:rtl w:val="true"/>
              </w:rPr>
              <w:tab/>
            </w:r>
            <w:r>
              <w:rPr>
                <w:rStyle w:val="IndexLink"/>
              </w:rPr>
              <w:t>74</w:t>
            </w:r>
          </w:hyperlink>
        </w:p>
        <w:p>
          <w:pPr>
            <w:pStyle w:val="Contents2"/>
            <w:tabs>
              <w:tab w:val="clear" w:pos="8743"/>
              <w:tab w:val="right" w:pos="9026" w:leader="dot"/>
            </w:tabs>
            <w:rPr/>
          </w:pPr>
          <w:hyperlink w:anchor="__RefHeading___Toc709766_373438147">
            <w:r>
              <w:rPr>
                <w:webHidden/>
                <w:rStyle w:val="IndexLink"/>
                <w:rtl w:val="true"/>
              </w:rPr>
              <w:t>[</w:t>
            </w:r>
            <w:r>
              <w:rPr>
                <w:rStyle w:val="IndexLink"/>
              </w:rPr>
              <w:t>26</w:t>
            </w:r>
            <w:r>
              <w:rPr>
                <w:rStyle w:val="IndexLink"/>
                <w:rtl w:val="true"/>
              </w:rPr>
              <w:t>]</w:t>
            </w:r>
            <w:r>
              <w:rPr>
                <w:rStyle w:val="IndexLink"/>
                <w:rtl w:val="true"/>
              </w:rPr>
              <w:t>باب الاعتقاد فی الصراط</w:t>
            </w:r>
            <w:r>
              <w:rPr>
                <w:rStyle w:val="IndexLink"/>
                <w:rtl w:val="true"/>
              </w:rPr>
              <w:tab/>
            </w:r>
            <w:r>
              <w:rPr>
                <w:rStyle w:val="IndexLink"/>
              </w:rPr>
              <w:t>74</w:t>
            </w:r>
          </w:hyperlink>
        </w:p>
        <w:p>
          <w:pPr>
            <w:pStyle w:val="Contents2"/>
            <w:tabs>
              <w:tab w:val="clear" w:pos="8743"/>
              <w:tab w:val="right" w:pos="9026" w:leader="dot"/>
            </w:tabs>
            <w:rPr/>
          </w:pPr>
          <w:hyperlink w:anchor="__RefHeading___Toc709768_373438147">
            <w:r>
              <w:rPr>
                <w:webHidden/>
                <w:rStyle w:val="IndexLink"/>
                <w:rtl w:val="true"/>
              </w:rPr>
              <w:t>[</w:t>
            </w:r>
            <w:r>
              <w:rPr>
                <w:rStyle w:val="IndexLink"/>
              </w:rPr>
              <w:t>27</w:t>
            </w:r>
            <w:r>
              <w:rPr>
                <w:rStyle w:val="IndexLink"/>
                <w:rtl w:val="true"/>
              </w:rPr>
              <w:t>]</w:t>
            </w:r>
            <w:r>
              <w:rPr>
                <w:rStyle w:val="IndexLink"/>
                <w:rtl w:val="true"/>
              </w:rPr>
              <w:t>باب الاعتقاد فی العقبات التی علی طریق المحشر</w:t>
            </w:r>
            <w:r>
              <w:rPr>
                <w:rStyle w:val="IndexLink"/>
                <w:rtl w:val="true"/>
              </w:rPr>
              <w:tab/>
            </w:r>
            <w:r>
              <w:rPr>
                <w:rStyle w:val="IndexLink"/>
              </w:rPr>
              <w:t>75</w:t>
            </w:r>
          </w:hyperlink>
        </w:p>
        <w:p>
          <w:pPr>
            <w:pStyle w:val="Contents2"/>
            <w:tabs>
              <w:tab w:val="clear" w:pos="8743"/>
              <w:tab w:val="right" w:pos="9026" w:leader="dot"/>
            </w:tabs>
            <w:rPr/>
          </w:pPr>
          <w:hyperlink w:anchor="__RefHeading___Toc709770_373438147">
            <w:r>
              <w:rPr>
                <w:webHidden/>
                <w:rStyle w:val="IndexLink"/>
                <w:rtl w:val="true"/>
              </w:rPr>
              <w:t>[</w:t>
            </w:r>
            <w:r>
              <w:rPr>
                <w:rStyle w:val="IndexLink"/>
              </w:rPr>
              <w:t>28</w:t>
            </w:r>
            <w:r>
              <w:rPr>
                <w:rStyle w:val="IndexLink"/>
                <w:rtl w:val="true"/>
              </w:rPr>
              <w:t>]</w:t>
            </w:r>
            <w:r>
              <w:rPr>
                <w:rStyle w:val="IndexLink"/>
                <w:rtl w:val="true"/>
              </w:rPr>
              <w:t>باب الاعتقاد فی الحساب و المیزان</w:t>
            </w:r>
            <w:r>
              <w:rPr>
                <w:rStyle w:val="IndexLink"/>
                <w:rtl w:val="true"/>
              </w:rPr>
              <w:tab/>
            </w:r>
            <w:r>
              <w:rPr>
                <w:rStyle w:val="IndexLink"/>
              </w:rPr>
              <w:t>77</w:t>
            </w:r>
          </w:hyperlink>
        </w:p>
        <w:p>
          <w:pPr>
            <w:pStyle w:val="Contents2"/>
            <w:tabs>
              <w:tab w:val="clear" w:pos="8743"/>
              <w:tab w:val="right" w:pos="9026" w:leader="dot"/>
            </w:tabs>
            <w:rPr/>
          </w:pPr>
          <w:hyperlink w:anchor="__RefHeading___Toc709772_373438147">
            <w:r>
              <w:rPr>
                <w:webHidden/>
                <w:rStyle w:val="IndexLink"/>
                <w:rtl w:val="true"/>
              </w:rPr>
              <w:t>[</w:t>
            </w:r>
            <w:r>
              <w:rPr>
                <w:rStyle w:val="IndexLink"/>
              </w:rPr>
              <w:t>29</w:t>
            </w:r>
            <w:r>
              <w:rPr>
                <w:rStyle w:val="IndexLink"/>
                <w:rtl w:val="true"/>
              </w:rPr>
              <w:t>]</w:t>
            </w:r>
            <w:r>
              <w:rPr>
                <w:rStyle w:val="IndexLink"/>
                <w:rtl w:val="true"/>
              </w:rPr>
              <w:t>باب الاعتقاد فی الجنّة و النّار</w:t>
            </w:r>
            <w:r>
              <w:rPr>
                <w:rStyle w:val="IndexLink"/>
                <w:rtl w:val="true"/>
              </w:rPr>
              <w:tab/>
            </w:r>
            <w:r>
              <w:rPr>
                <w:rStyle w:val="IndexLink"/>
              </w:rPr>
              <w:t>80</w:t>
            </w:r>
          </w:hyperlink>
        </w:p>
        <w:p>
          <w:pPr>
            <w:pStyle w:val="Contents2"/>
            <w:tabs>
              <w:tab w:val="clear" w:pos="8743"/>
              <w:tab w:val="right" w:pos="9026" w:leader="dot"/>
            </w:tabs>
            <w:rPr/>
          </w:pPr>
          <w:hyperlink w:anchor="__RefHeading___Toc709774_373438147">
            <w:r>
              <w:rPr>
                <w:webHidden/>
                <w:rStyle w:val="IndexLink"/>
                <w:rtl w:val="true"/>
              </w:rPr>
              <w:t>[</w:t>
            </w:r>
            <w:r>
              <w:rPr>
                <w:rStyle w:val="IndexLink"/>
              </w:rPr>
              <w:t>30</w:t>
            </w:r>
            <w:r>
              <w:rPr>
                <w:rStyle w:val="IndexLink"/>
                <w:rtl w:val="true"/>
              </w:rPr>
              <w:t>]</w:t>
            </w:r>
            <w:r>
              <w:rPr>
                <w:rStyle w:val="IndexLink"/>
                <w:rtl w:val="true"/>
              </w:rPr>
              <w:t>باب الاعتقاد فی کیفیّة نزول الوحی من عند اللّه بالکتب فی الأمر و النهی</w:t>
            </w:r>
            <w:r>
              <w:rPr>
                <w:rStyle w:val="IndexLink"/>
                <w:rtl w:val="true"/>
              </w:rPr>
              <w:tab/>
            </w:r>
            <w:r>
              <w:rPr>
                <w:rStyle w:val="IndexLink"/>
              </w:rPr>
              <w:t>85</w:t>
            </w:r>
          </w:hyperlink>
        </w:p>
        <w:p>
          <w:pPr>
            <w:pStyle w:val="Contents2"/>
            <w:tabs>
              <w:tab w:val="clear" w:pos="8743"/>
              <w:tab w:val="right" w:pos="9026" w:leader="dot"/>
            </w:tabs>
            <w:rPr/>
          </w:pPr>
          <w:hyperlink w:anchor="__RefHeading___Toc709776_373438147">
            <w:r>
              <w:rPr>
                <w:webHidden/>
                <w:rStyle w:val="IndexLink"/>
                <w:rtl w:val="true"/>
              </w:rPr>
              <w:t>[</w:t>
            </w:r>
            <w:r>
              <w:rPr>
                <w:rStyle w:val="IndexLink"/>
              </w:rPr>
              <w:t>31</w:t>
            </w:r>
            <w:r>
              <w:rPr>
                <w:rStyle w:val="IndexLink"/>
                <w:rtl w:val="true"/>
              </w:rPr>
              <w:t>]</w:t>
            </w:r>
            <w:r>
              <w:rPr>
                <w:rStyle w:val="IndexLink"/>
                <w:rtl w:val="true"/>
              </w:rPr>
              <w:t>باب الاعتقاد فی نزول القرآن فی لیلة القدر</w:t>
            </w:r>
            <w:r>
              <w:rPr>
                <w:rStyle w:val="IndexLink"/>
                <w:rtl w:val="true"/>
              </w:rPr>
              <w:tab/>
            </w:r>
            <w:r>
              <w:rPr>
                <w:rStyle w:val="IndexLink"/>
              </w:rPr>
              <w:t>86</w:t>
            </w:r>
          </w:hyperlink>
        </w:p>
        <w:p>
          <w:pPr>
            <w:pStyle w:val="Contents2"/>
            <w:tabs>
              <w:tab w:val="clear" w:pos="8743"/>
              <w:tab w:val="right" w:pos="9026" w:leader="dot"/>
            </w:tabs>
            <w:rPr/>
          </w:pPr>
          <w:hyperlink w:anchor="__RefHeading___Toc709778_373438147">
            <w:r>
              <w:rPr>
                <w:webHidden/>
                <w:rStyle w:val="IndexLink"/>
                <w:rtl w:val="true"/>
              </w:rPr>
              <w:t>[</w:t>
            </w:r>
            <w:r>
              <w:rPr>
                <w:rStyle w:val="IndexLink"/>
              </w:rPr>
              <w:t>32</w:t>
            </w:r>
            <w:r>
              <w:rPr>
                <w:rStyle w:val="IndexLink"/>
                <w:rtl w:val="true"/>
              </w:rPr>
              <w:t>]</w:t>
            </w:r>
            <w:r>
              <w:rPr>
                <w:rStyle w:val="IndexLink"/>
                <w:rtl w:val="true"/>
              </w:rPr>
              <w:t>باب الاعتقاد فی القرآن</w:t>
            </w:r>
            <w:r>
              <w:rPr>
                <w:rStyle w:val="IndexLink"/>
                <w:rtl w:val="true"/>
              </w:rPr>
              <w:tab/>
            </w:r>
            <w:r>
              <w:rPr>
                <w:rStyle w:val="IndexLink"/>
              </w:rPr>
              <w:t>87</w:t>
            </w:r>
          </w:hyperlink>
        </w:p>
        <w:p>
          <w:pPr>
            <w:pStyle w:val="Contents2"/>
            <w:tabs>
              <w:tab w:val="clear" w:pos="8743"/>
              <w:tab w:val="right" w:pos="9026" w:leader="dot"/>
            </w:tabs>
            <w:rPr/>
          </w:pPr>
          <w:hyperlink w:anchor="__RefHeading___Toc709780_373438147">
            <w:r>
              <w:rPr>
                <w:webHidden/>
                <w:rStyle w:val="IndexLink"/>
                <w:rtl w:val="true"/>
              </w:rPr>
              <w:t>[</w:t>
            </w:r>
            <w:r>
              <w:rPr>
                <w:rStyle w:val="IndexLink"/>
              </w:rPr>
              <w:t>33</w:t>
            </w:r>
            <w:r>
              <w:rPr>
                <w:rStyle w:val="IndexLink"/>
                <w:rtl w:val="true"/>
              </w:rPr>
              <w:t>]</w:t>
            </w:r>
            <w:r>
              <w:rPr>
                <w:rStyle w:val="IndexLink"/>
                <w:rtl w:val="true"/>
              </w:rPr>
              <w:t>باب الاعتقاد فی مبلغ القرآن</w:t>
            </w:r>
            <w:r>
              <w:rPr>
                <w:rStyle w:val="IndexLink"/>
                <w:rtl w:val="true"/>
              </w:rPr>
              <w:tab/>
            </w:r>
            <w:r>
              <w:rPr>
                <w:rStyle w:val="IndexLink"/>
              </w:rPr>
              <w:t>88</w:t>
            </w:r>
          </w:hyperlink>
        </w:p>
        <w:p>
          <w:pPr>
            <w:pStyle w:val="Contents2"/>
            <w:tabs>
              <w:tab w:val="clear" w:pos="8743"/>
              <w:tab w:val="right" w:pos="9026" w:leader="dot"/>
            </w:tabs>
            <w:rPr/>
          </w:pPr>
          <w:hyperlink w:anchor="__RefHeading___Toc709782_373438147">
            <w:r>
              <w:rPr>
                <w:webHidden/>
                <w:rStyle w:val="IndexLink"/>
                <w:rtl w:val="true"/>
              </w:rPr>
              <w:t>[</w:t>
            </w:r>
            <w:r>
              <w:rPr>
                <w:rStyle w:val="IndexLink"/>
              </w:rPr>
              <w:t>34</w:t>
            </w:r>
            <w:r>
              <w:rPr>
                <w:rStyle w:val="IndexLink"/>
                <w:rtl w:val="true"/>
              </w:rPr>
              <w:t>]</w:t>
            </w:r>
            <w:r>
              <w:rPr>
                <w:rStyle w:val="IndexLink"/>
                <w:rtl w:val="true"/>
              </w:rPr>
              <w:t>باب الاعتقاد فی الأنبیاء و الرسل و الحجج</w:t>
            </w:r>
            <w:r>
              <w:rPr>
                <w:rStyle w:val="IndexLink"/>
                <w:rtl w:val="true"/>
              </w:rPr>
              <w:tab/>
            </w:r>
            <w:r>
              <w:rPr>
                <w:rStyle w:val="IndexLink"/>
              </w:rPr>
              <w:t>93</w:t>
            </w:r>
          </w:hyperlink>
        </w:p>
        <w:p>
          <w:pPr>
            <w:pStyle w:val="Contents2"/>
            <w:tabs>
              <w:tab w:val="clear" w:pos="8743"/>
              <w:tab w:val="right" w:pos="9026" w:leader="dot"/>
            </w:tabs>
            <w:rPr/>
          </w:pPr>
          <w:hyperlink w:anchor="__RefHeading___Toc709784_373438147">
            <w:r>
              <w:rPr>
                <w:webHidden/>
                <w:rStyle w:val="IndexLink"/>
                <w:rtl w:val="true"/>
              </w:rPr>
              <w:t>[</w:t>
            </w:r>
            <w:r>
              <w:rPr>
                <w:rStyle w:val="IndexLink"/>
              </w:rPr>
              <w:t>35</w:t>
            </w:r>
            <w:r>
              <w:rPr>
                <w:rStyle w:val="IndexLink"/>
                <w:rtl w:val="true"/>
              </w:rPr>
              <w:t>]</w:t>
            </w:r>
            <w:r>
              <w:rPr>
                <w:rStyle w:val="IndexLink"/>
                <w:rtl w:val="true"/>
              </w:rPr>
              <w:t>باب الاعتقاد فی عدد الأنبیاء و الأوصیاء</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709786_373438147">
            <w:r>
              <w:rPr>
                <w:webHidden/>
                <w:rStyle w:val="IndexLink"/>
                <w:rtl w:val="true"/>
              </w:rPr>
              <w:t>[</w:t>
            </w:r>
            <w:r>
              <w:rPr>
                <w:rStyle w:val="IndexLink"/>
              </w:rPr>
              <w:t>36</w:t>
            </w:r>
            <w:r>
              <w:rPr>
                <w:rStyle w:val="IndexLink"/>
                <w:rtl w:val="true"/>
              </w:rPr>
              <w:t>]</w:t>
            </w:r>
            <w:r>
              <w:rPr>
                <w:rStyle w:val="IndexLink"/>
                <w:rtl w:val="true"/>
              </w:rPr>
              <w:t>باب الاعتقاد فی العصمة</w:t>
            </w:r>
            <w:r>
              <w:rPr>
                <w:rStyle w:val="IndexLink"/>
                <w:rtl w:val="true"/>
              </w:rPr>
              <w:tab/>
            </w:r>
            <w:r>
              <w:rPr>
                <w:rStyle w:val="IndexLink"/>
              </w:rPr>
              <w:t>100</w:t>
            </w:r>
          </w:hyperlink>
        </w:p>
        <w:p>
          <w:pPr>
            <w:pStyle w:val="Contents2"/>
            <w:tabs>
              <w:tab w:val="clear" w:pos="8743"/>
              <w:tab w:val="right" w:pos="9026" w:leader="dot"/>
            </w:tabs>
            <w:rPr/>
          </w:pPr>
          <w:hyperlink w:anchor="__RefHeading___Toc709788_373438147">
            <w:r>
              <w:rPr>
                <w:webHidden/>
                <w:rStyle w:val="IndexLink"/>
                <w:rtl w:val="true"/>
              </w:rPr>
              <w:t>[</w:t>
            </w:r>
            <w:r>
              <w:rPr>
                <w:rStyle w:val="IndexLink"/>
              </w:rPr>
              <w:t>37</w:t>
            </w:r>
            <w:r>
              <w:rPr>
                <w:rStyle w:val="IndexLink"/>
                <w:rtl w:val="true"/>
              </w:rPr>
              <w:t>]</w:t>
            </w:r>
            <w:r>
              <w:rPr>
                <w:rStyle w:val="IndexLink"/>
                <w:rtl w:val="true"/>
              </w:rPr>
              <w:t>باب الاعتقاد فی نفی الغلو و التفویض</w:t>
            </w:r>
            <w:r>
              <w:rPr>
                <w:rStyle w:val="IndexLink"/>
                <w:rtl w:val="true"/>
              </w:rPr>
              <w:tab/>
            </w:r>
            <w:r>
              <w:rPr>
                <w:rStyle w:val="IndexLink"/>
              </w:rPr>
              <w:t>101</w:t>
            </w:r>
          </w:hyperlink>
        </w:p>
        <w:p>
          <w:pPr>
            <w:pStyle w:val="Contents2"/>
            <w:tabs>
              <w:tab w:val="clear" w:pos="8743"/>
              <w:tab w:val="right" w:pos="9026" w:leader="dot"/>
            </w:tabs>
            <w:rPr/>
          </w:pPr>
          <w:hyperlink w:anchor="__RefHeading___Toc709790_373438147">
            <w:r>
              <w:rPr>
                <w:webHidden/>
                <w:rStyle w:val="IndexLink"/>
                <w:rtl w:val="true"/>
              </w:rPr>
              <w:t>[</w:t>
            </w:r>
            <w:r>
              <w:rPr>
                <w:rStyle w:val="IndexLink"/>
              </w:rPr>
              <w:t>38</w:t>
            </w:r>
            <w:r>
              <w:rPr>
                <w:rStyle w:val="IndexLink"/>
                <w:rtl w:val="true"/>
              </w:rPr>
              <w:t>]</w:t>
            </w:r>
            <w:r>
              <w:rPr>
                <w:rStyle w:val="IndexLink"/>
                <w:rtl w:val="true"/>
              </w:rPr>
              <w:t>باب الاعتقاد فی الظالمین</w:t>
            </w:r>
            <w:r>
              <w:rPr>
                <w:rStyle w:val="IndexLink"/>
                <w:rtl w:val="true"/>
              </w:rPr>
              <w:tab/>
            </w:r>
            <w:r>
              <w:rPr>
                <w:rStyle w:val="IndexLink"/>
              </w:rPr>
              <w:t>106</w:t>
            </w:r>
          </w:hyperlink>
        </w:p>
        <w:p>
          <w:pPr>
            <w:pStyle w:val="Contents2"/>
            <w:tabs>
              <w:tab w:val="clear" w:pos="8743"/>
              <w:tab w:val="right" w:pos="9026" w:leader="dot"/>
            </w:tabs>
            <w:rPr/>
          </w:pPr>
          <w:hyperlink w:anchor="__RefHeading___Toc709792_373438147">
            <w:r>
              <w:rPr>
                <w:webHidden/>
                <w:rStyle w:val="IndexLink"/>
                <w:rtl w:val="true"/>
              </w:rPr>
              <w:t>[</w:t>
            </w:r>
            <w:r>
              <w:rPr>
                <w:rStyle w:val="IndexLink"/>
              </w:rPr>
              <w:t>39</w:t>
            </w:r>
            <w:r>
              <w:rPr>
                <w:rStyle w:val="IndexLink"/>
                <w:rtl w:val="true"/>
              </w:rPr>
              <w:t>]</w:t>
            </w:r>
            <w:r>
              <w:rPr>
                <w:rStyle w:val="IndexLink"/>
                <w:rtl w:val="true"/>
              </w:rPr>
              <w:t>باب الاعتقاد فی التقیّة</w:t>
            </w:r>
            <w:r>
              <w:rPr>
                <w:rStyle w:val="IndexLink"/>
                <w:rtl w:val="true"/>
              </w:rPr>
              <w:tab/>
            </w:r>
            <w:r>
              <w:rPr>
                <w:rStyle w:val="IndexLink"/>
              </w:rPr>
              <w:t>111</w:t>
            </w:r>
          </w:hyperlink>
        </w:p>
        <w:p>
          <w:pPr>
            <w:pStyle w:val="Contents2"/>
            <w:tabs>
              <w:tab w:val="clear" w:pos="8743"/>
              <w:tab w:val="right" w:pos="9026" w:leader="dot"/>
            </w:tabs>
            <w:rPr/>
          </w:pPr>
          <w:hyperlink w:anchor="__RefHeading___Toc709794_373438147">
            <w:r>
              <w:rPr>
                <w:webHidden/>
                <w:rStyle w:val="IndexLink"/>
                <w:rtl w:val="true"/>
              </w:rPr>
              <w:t>[</w:t>
            </w:r>
            <w:r>
              <w:rPr>
                <w:rStyle w:val="IndexLink"/>
              </w:rPr>
              <w:t>40</w:t>
            </w:r>
            <w:r>
              <w:rPr>
                <w:rStyle w:val="IndexLink"/>
                <w:rtl w:val="true"/>
              </w:rPr>
              <w:t>]</w:t>
            </w:r>
            <w:r>
              <w:rPr>
                <w:rStyle w:val="IndexLink"/>
                <w:rtl w:val="true"/>
              </w:rPr>
              <w:t>باب الاعتقاد فی آباء النبی صلّی اللّه علیه و آله و سلّم</w:t>
            </w:r>
            <w:r>
              <w:rPr>
                <w:rStyle w:val="IndexLink"/>
                <w:rtl w:val="true"/>
              </w:rPr>
              <w:tab/>
            </w:r>
            <w:r>
              <w:rPr>
                <w:rStyle w:val="IndexLink"/>
              </w:rPr>
              <w:t>114</w:t>
            </w:r>
          </w:hyperlink>
        </w:p>
        <w:p>
          <w:pPr>
            <w:pStyle w:val="Contents2"/>
            <w:tabs>
              <w:tab w:val="clear" w:pos="8743"/>
              <w:tab w:val="right" w:pos="9026" w:leader="dot"/>
            </w:tabs>
            <w:rPr/>
          </w:pPr>
          <w:hyperlink w:anchor="__RefHeading___Toc709796_373438147">
            <w:r>
              <w:rPr>
                <w:webHidden/>
                <w:rStyle w:val="IndexLink"/>
                <w:rtl w:val="true"/>
              </w:rPr>
              <w:t>[</w:t>
            </w:r>
            <w:r>
              <w:rPr>
                <w:rStyle w:val="IndexLink"/>
              </w:rPr>
              <w:t>41</w:t>
            </w:r>
            <w:r>
              <w:rPr>
                <w:rStyle w:val="IndexLink"/>
                <w:rtl w:val="true"/>
              </w:rPr>
              <w:t>]</w:t>
            </w:r>
            <w:r>
              <w:rPr>
                <w:rStyle w:val="IndexLink"/>
                <w:rtl w:val="true"/>
              </w:rPr>
              <w:t>باب الاعتقاد فی العلویّة</w:t>
            </w:r>
            <w:r>
              <w:rPr>
                <w:rStyle w:val="IndexLink"/>
                <w:rtl w:val="true"/>
              </w:rPr>
              <w:tab/>
            </w:r>
            <w:r>
              <w:rPr>
                <w:rStyle w:val="IndexLink"/>
              </w:rPr>
              <w:t>115</w:t>
            </w:r>
          </w:hyperlink>
        </w:p>
        <w:p>
          <w:pPr>
            <w:pStyle w:val="Contents2"/>
            <w:tabs>
              <w:tab w:val="clear" w:pos="8743"/>
              <w:tab w:val="right" w:pos="9026" w:leader="dot"/>
            </w:tabs>
            <w:rPr/>
          </w:pPr>
          <w:hyperlink w:anchor="__RefHeading___Toc709798_373438147">
            <w:r>
              <w:rPr>
                <w:webHidden/>
                <w:rStyle w:val="IndexLink"/>
                <w:rtl w:val="true"/>
              </w:rPr>
              <w:t>[</w:t>
            </w:r>
            <w:r>
              <w:rPr>
                <w:rStyle w:val="IndexLink"/>
              </w:rPr>
              <w:t>42</w:t>
            </w:r>
            <w:r>
              <w:rPr>
                <w:rStyle w:val="IndexLink"/>
                <w:rtl w:val="true"/>
              </w:rPr>
              <w:t>]</w:t>
            </w:r>
            <w:r>
              <w:rPr>
                <w:rStyle w:val="IndexLink"/>
                <w:rtl w:val="true"/>
              </w:rPr>
              <w:t>باب الاعتقاد فی الأخبار المفسّرة و المجملة</w:t>
            </w:r>
            <w:r>
              <w:rPr>
                <w:rStyle w:val="IndexLink"/>
                <w:rtl w:val="true"/>
              </w:rPr>
              <w:tab/>
            </w:r>
            <w:r>
              <w:rPr>
                <w:rStyle w:val="IndexLink"/>
              </w:rPr>
              <w:t>118</w:t>
            </w:r>
          </w:hyperlink>
        </w:p>
        <w:p>
          <w:pPr>
            <w:pStyle w:val="Contents2"/>
            <w:tabs>
              <w:tab w:val="clear" w:pos="8743"/>
              <w:tab w:val="right" w:pos="9026" w:leader="dot"/>
            </w:tabs>
            <w:rPr/>
          </w:pPr>
          <w:hyperlink w:anchor="__RefHeading___Toc709800_373438147">
            <w:r>
              <w:rPr>
                <w:webHidden/>
                <w:rStyle w:val="IndexLink"/>
                <w:rtl w:val="true"/>
              </w:rPr>
              <w:t>[</w:t>
            </w:r>
            <w:r>
              <w:rPr>
                <w:rStyle w:val="IndexLink"/>
              </w:rPr>
              <w:t>43</w:t>
            </w:r>
            <w:r>
              <w:rPr>
                <w:rStyle w:val="IndexLink"/>
                <w:rtl w:val="true"/>
              </w:rPr>
              <w:t>]</w:t>
            </w:r>
            <w:r>
              <w:rPr>
                <w:rStyle w:val="IndexLink"/>
                <w:rtl w:val="true"/>
              </w:rPr>
              <w:t>باب الاعتقاد فی الحظر و الإباحة</w:t>
            </w:r>
            <w:r>
              <w:rPr>
                <w:rStyle w:val="IndexLink"/>
                <w:rtl w:val="true"/>
              </w:rPr>
              <w:tab/>
            </w:r>
            <w:r>
              <w:rPr>
                <w:rStyle w:val="IndexLink"/>
              </w:rPr>
              <w:t>118</w:t>
            </w:r>
          </w:hyperlink>
        </w:p>
        <w:p>
          <w:pPr>
            <w:pStyle w:val="Contents2"/>
            <w:tabs>
              <w:tab w:val="clear" w:pos="8743"/>
              <w:tab w:val="right" w:pos="9026" w:leader="dot"/>
            </w:tabs>
            <w:rPr/>
          </w:pPr>
          <w:hyperlink w:anchor="__RefHeading___Toc709802_373438147">
            <w:r>
              <w:rPr>
                <w:webHidden/>
                <w:rStyle w:val="IndexLink"/>
                <w:rtl w:val="true"/>
              </w:rPr>
              <w:t>[</w:t>
            </w:r>
            <w:r>
              <w:rPr>
                <w:rStyle w:val="IndexLink"/>
              </w:rPr>
              <w:t>44</w:t>
            </w:r>
            <w:r>
              <w:rPr>
                <w:rStyle w:val="IndexLink"/>
                <w:rtl w:val="true"/>
              </w:rPr>
              <w:t>]</w:t>
            </w:r>
            <w:r>
              <w:rPr>
                <w:rStyle w:val="IndexLink"/>
                <w:rtl w:val="true"/>
              </w:rPr>
              <w:t>باب الاعتقاد فی الأخبار الواردة فی الطب</w:t>
            </w:r>
            <w:r>
              <w:rPr>
                <w:rStyle w:val="IndexLink"/>
                <w:rtl w:val="true"/>
              </w:rPr>
              <w:tab/>
            </w:r>
            <w:r>
              <w:rPr>
                <w:rStyle w:val="IndexLink"/>
              </w:rPr>
              <w:t>119</w:t>
            </w:r>
          </w:hyperlink>
        </w:p>
        <w:p>
          <w:pPr>
            <w:pStyle w:val="Contents2"/>
            <w:tabs>
              <w:tab w:val="clear" w:pos="8743"/>
              <w:tab w:val="right" w:pos="9026" w:leader="dot"/>
            </w:tabs>
            <w:rPr/>
          </w:pPr>
          <w:hyperlink w:anchor="__RefHeading___Toc709804_373438147">
            <w:r>
              <w:rPr>
                <w:webHidden/>
                <w:rStyle w:val="IndexLink"/>
                <w:rtl w:val="true"/>
              </w:rPr>
              <w:t>[</w:t>
            </w:r>
            <w:r>
              <w:rPr>
                <w:rStyle w:val="IndexLink"/>
              </w:rPr>
              <w:t>45</w:t>
            </w:r>
            <w:r>
              <w:rPr>
                <w:rStyle w:val="IndexLink"/>
                <w:rtl w:val="true"/>
              </w:rPr>
              <w:t>]</w:t>
            </w:r>
            <w:r>
              <w:rPr>
                <w:rStyle w:val="IndexLink"/>
                <w:rtl w:val="true"/>
              </w:rPr>
              <w:t>باب الاعتقاد فی الحدیثین المختلفین</w:t>
            </w:r>
            <w:r>
              <w:rPr>
                <w:rStyle w:val="IndexLink"/>
                <w:rtl w:val="true"/>
              </w:rPr>
              <w:tab/>
            </w:r>
            <w:r>
              <w:rPr>
                <w:rStyle w:val="IndexLink"/>
              </w:rPr>
              <w:t>121</w:t>
            </w:r>
          </w:hyperlink>
        </w:p>
        <w:p>
          <w:pPr>
            <w:pStyle w:val="Contents2"/>
            <w:tabs>
              <w:tab w:val="clear" w:pos="8743"/>
              <w:tab w:val="right" w:pos="9026" w:leader="dot"/>
            </w:tabs>
            <w:rPr/>
          </w:pPr>
          <w:hyperlink w:anchor="__RefHeading___Toc709806_373438147">
            <w:r>
              <w:rPr>
                <w:webHidden/>
                <w:rStyle w:val="IndexLink"/>
                <w:rtl w:val="true"/>
              </w:rPr>
              <w:t>فهرس الموضوعات</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35_204828"/>
      <w:bookmarkStart w:id="1" w:name="pg20035_204828"/>
      <w:bookmarkEnd w:id="1"/>
    </w:p>
    <w:p>
      <w:pPr>
        <w:pStyle w:val="Heading2"/>
        <w:numPr>
          <w:ilvl w:val="1"/>
          <w:numId w:val="1"/>
        </w:numPr>
        <w:rPr/>
      </w:pPr>
      <w:bookmarkStart w:id="2" w:name="pg20035_204828"/>
      <w:bookmarkStart w:id="3" w:name="__RefHeading___Toc709710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علی میرشریفی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نمونه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به‌مناسبت هزارمین سالگرد فوت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و ناشر هر جلد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الصاغانیه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العکبریه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مارالشیعه فی محتضر تواریخ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فی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التذکره باصول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الاعتقادیه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معرفه حجج‌الله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میرشریفی، علی،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هزاره شیخ مفید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712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035_204830"/>
      <w:bookmarkStart w:id="8" w:name="pg20035_204830"/>
      <w:bookmarkEnd w:id="8"/>
    </w:p>
    <w:p>
      <w:pPr>
        <w:pStyle w:val="Heading2"/>
        <w:numPr>
          <w:ilvl w:val="1"/>
          <w:numId w:val="1"/>
        </w:numPr>
        <w:rPr/>
      </w:pPr>
      <w:bookmarkStart w:id="9" w:name="pg20035_204830"/>
      <w:bookmarkStart w:id="10" w:name="__RefHeading___Toc709714_373438147"/>
      <w:bookmarkStart w:id="11" w:name="_Toc3"/>
      <w:bookmarkEnd w:id="9"/>
      <w:bookmarkEnd w:id="10"/>
      <w:r>
        <w:rPr>
          <w:rtl w:val="true"/>
        </w:rPr>
        <w:t>[</w:t>
      </w:r>
      <w:r>
        <w:rPr>
          <w:rtl w:val="true"/>
        </w:rPr>
        <w:t>مقدمة فی منهج التحقیق حول الکتاب</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الشیخ الصدوق هذا الکتاب، معتمدا المنهج الکلامی المعروف عند أهل الحدیث و هو الاعتماد فی معرفة اصول الدین علی النصوص الواردة، من کتاب و حدیث و مفسرا لها حسب ما ورد من تفسیره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باعتبارهم معادن الحکمة و العلم و مخازن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المنهج الکلامی المتبع لدی جمهور الشیعة هو المنهج الذی یقول إنّ اصول الدین و مسائل العقیدة لا بدّ أن یتوصّل الانسان إلیها بنفسه و بالاستعانة بعقله الذی هو رسول باطن لدیه، و ان استرشد إلی ذلک بطریق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بحدیثهم فلا بأس، أما أن یتقید فی ذلک بالنصوص، و لا یتعداها، أو یعتمد علی ما ضعف و وهن منها، أو یقلّد من یقول فیها برأی، اعتمادا علی الظن،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الشیخ المفید یعتمد المنهج الثانی، فهو قد تصدی للشیخ الصدوق فی کتاب الاعتقادات ، بالنقد و الردّ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أساس من هذه المقابلة رأت رئاسة المؤتمر العالمی لألفیة الشیخ المفید ، أن یدرجوا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ضمن منشوراتهم، حتی یکون تمهیدا لطبع کتاب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للبحث عن هذا الکتاب و منهج المحدثین، و نقده، مجال واسع، اکبر مما تحتمله هذه النظرات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المعتمدة و منهجیة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النسخ المعتمدة فی تحقیق الکتاب کالتالی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المرعشی ، تحت رقم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أقدم النسخ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مکتبة المرعشی ، تحت رقم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حرّرت سنة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هی من النسخ الدقیقة و إن کان خطّها غیر واضح تماما، و تمتاز بزیادات و إضافات أشرنا إلیها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آستانة قدس رضوی ، تحت رقم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حرّرت سنة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حجم </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x13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 من أدق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المحفوظة فی آستانة قدس رضوی ، تحت رقم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حرّرت سنة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هی 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بحجم </w:t>
      </w:r>
      <w:r>
        <w:rPr>
          <w:rFonts w:eastAsia="IRNazanin" w:cs="IRNazanin"/>
          <w:color w:val="111111"/>
          <w:sz w:val="28"/>
          <w:szCs w:val="28"/>
          <w:lang w:bidi="fa-IR"/>
        </w:rPr>
        <w:t>17</w:t>
      </w:r>
      <w:r>
        <w:rPr>
          <w:rFonts w:eastAsia="Times New Roman" w:cs="Times New Roman" w:ascii="Times New Roman" w:hAnsi="Times New Roman"/>
          <w:color w:val="111111"/>
          <w:sz w:val="28"/>
          <w:szCs w:val="28"/>
          <w:lang w:val="en-US" w:bidi="en-US"/>
        </w:rPr>
        <w:t>x10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بالاضافة إلی ذلک استعنّا بالطبعة الحجریة للکتاب التی صوّرت سنة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تتضمن شرح باب الحادی عشر و آداب المتعلّمین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النسخة التی اعتمدها المجلسی فی موسوعته الحدیثیة بحار الأنوار و وزّعها علی أبوابها المناسبة، و قد أفردنا جدولا بذلک فی نهایة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الاعتقاد للشیخ المفید الذی یمثل مناقشة نقدیة للکتاب، و قد استفدنا منه فی موارد محدودة جدا باعتبار انه یکتفی بذکر بدایة الباب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مورد واحد فقط بدت عبارته غیر متسقة تماما استعنّا بکتاب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عبارة الکتاب و قد اثبتناها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خلال الممارسة العملیة یبدو انّ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استنسختا من أصل واحد، و ذلک لتشابههما فی الاختلافات و لوجود الحواشی و التعلیقات المتحدة فی هامشیهما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کذلک انّ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استنسختا من أصل واحد، و ذلک لتشابه الاختلافات و لانفرادهما بزیادات تخلو منها النسختین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باتحاد السقوطات أو الإضافات التی کتبت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یبدو کذلک انّ النسخة الحجریة قد طبعت علی النسختین الأخیرتین أو علی نسخة قریبة منهما، و قد استعنّا بها فی قراءة الهوامش التی لم یظهرها التصویر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نتخذ أیّا من النسخ الخطیّة أصلا و محورا للعمل باعتبار تأخّرها جمیعا عن عصر المؤلف، بل اعتمدنا طریقة التلفیق فیما بینها، لتقدیم نص متقن و مضبوط بقدر الإمکان، مع ملاحظة انّنا لم نثبت فی المتن أیّ عبارة تنفرد بها إحدی النسخ إلاّ نادرا، لانّ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محورا للتعلیقات و الحواشی المتکثرة التی تأخذ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بالاستنساخ المتتابع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طبیعی داخل النص، لذلک کان العمل حذرا جدا فی التعامل مع هذه الزیادات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لاختلافات النسخ الخطیّة فقد کانت الهوامش البیت الذی تأوی إلیه و إن بدت بعضها بعیدة عن الصحة، امّا الخطأ المحض فقد أعرضنا عنه و خاصة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ملئت بالأخطاء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النسخ الخطیّة فلم نحاول معارضتها حرفا بحرف بالنسخ الخطیّة إلاّ فی حالة الاختلافات أو الزیادات المهمة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حاولنا بقدر الإمکان عدم إرباک النص بکثرة الاختلافات فعمدنا إلی نقل العبارة المختلف فیها بکلمتین أو أکثر، إلی الهامش تسهیلا للقارئ لإدراکها ضمن سیاقها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استخرجنا نصوص الکتاب من المصادر الحدیثیة المسندة، إلاّ ما انفرد کتابنا بإرساله، مع ملاحظة انّ أغلب أو کل أبواب الکتاب هی نصوص مرویة یعثر علیها المتتبع بیسر و سهولة فی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هذا الکتاب کان من مصادر بحار الأنوار تألیف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إلیک فهرس ما نقل منه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التکلیف </w:t>
      </w:r>
      <w:r>
        <w:rPr>
          <w:rFonts w:eastAsia="IRNazanin" w:cs="IRNazanin"/>
          <w:color w:val="111111"/>
          <w:sz w:val="28"/>
          <w:szCs w:val="28"/>
          <w:lang w:bidi="fa-IR"/>
        </w:rPr>
        <w:t>5:305/19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نفی الجبر و التفویض </w:t>
      </w:r>
      <w:r>
        <w:rPr>
          <w:rFonts w:eastAsia="IRNazanin" w:cs="IRNazanin"/>
          <w:color w:val="111111"/>
          <w:sz w:val="28"/>
          <w:szCs w:val="28"/>
          <w:lang w:bidi="fa-IR"/>
        </w:rPr>
        <w:t>5:17/28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الإرادة و المشیئة </w:t>
      </w:r>
      <w:r>
        <w:rPr>
          <w:rFonts w:eastAsia="IRNazanin" w:cs="IRNazanin"/>
          <w:color w:val="111111"/>
          <w:sz w:val="28"/>
          <w:szCs w:val="28"/>
          <w:lang w:bidi="fa-IR"/>
        </w:rPr>
        <w:t>5:90/11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القضاء و القدر </w:t>
      </w:r>
      <w:r>
        <w:rPr>
          <w:rFonts w:eastAsia="IRNazanin" w:cs="IRNazanin"/>
          <w:color w:val="111111"/>
          <w:sz w:val="28"/>
          <w:szCs w:val="28"/>
          <w:lang w:bidi="fa-IR"/>
        </w:rPr>
        <w:t>5:97/24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الفطرة و الهدایة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الإستطاعة </w:t>
      </w:r>
      <w:r>
        <w:rPr>
          <w:rFonts w:eastAsia="IRNazanin" w:cs="IRNazanin"/>
          <w:color w:val="111111"/>
          <w:sz w:val="28"/>
          <w:szCs w:val="28"/>
          <w:lang w:bidi="fa-IR"/>
        </w:rPr>
        <w:t>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اللوح و القلم </w:t>
      </w:r>
      <w:r>
        <w:rPr>
          <w:rFonts w:eastAsia="IRNazanin" w:cs="IRNazanin"/>
          <w:color w:val="111111"/>
          <w:sz w:val="28"/>
          <w:szCs w:val="28"/>
          <w:lang w:bidi="fa-IR"/>
        </w:rPr>
        <w:t>57:370/10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الکرسی </w:t>
      </w:r>
      <w:r>
        <w:rPr>
          <w:rFonts w:eastAsia="IRNazanin" w:cs="IRNazanin"/>
          <w:color w:val="111111"/>
          <w:sz w:val="28"/>
          <w:szCs w:val="28"/>
          <w:lang w:bidi="fa-IR"/>
        </w:rPr>
        <w:t>58:9/6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العرش </w:t>
      </w:r>
      <w:r>
        <w:rPr>
          <w:rFonts w:eastAsia="IRNazanin" w:cs="IRNazanin"/>
          <w:color w:val="111111"/>
          <w:sz w:val="28"/>
          <w:szCs w:val="28"/>
          <w:lang w:bidi="fa-IR"/>
        </w:rPr>
        <w:t>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النفوس و الأرواح </w:t>
      </w:r>
      <w:r>
        <w:rPr>
          <w:rFonts w:eastAsia="IRNazanin" w:cs="IRNazanin"/>
          <w:color w:val="111111"/>
          <w:sz w:val="28"/>
          <w:szCs w:val="28"/>
          <w:lang w:bidi="fa-IR"/>
        </w:rPr>
        <w:t>6:249/87</w:t>
      </w:r>
      <w:r>
        <w:rPr>
          <w:rFonts w:ascii="IRNazanin" w:hAnsi="IRNazanin" w:eastAsia="IRNazanin"/>
          <w:color w:val="111111"/>
          <w:sz w:val="28"/>
          <w:sz w:val="28"/>
          <w:szCs w:val="28"/>
          <w:lang w:bidi="fa-IR"/>
        </w:rPr>
        <w:t>،</w:t>
      </w:r>
      <w:r>
        <w:rPr>
          <w:rFonts w:eastAsia="IRNazanin" w:cs="IRNazanin"/>
          <w:color w:val="111111"/>
          <w:sz w:val="28"/>
          <w:szCs w:val="28"/>
          <w:lang w:bidi="fa-IR"/>
        </w:rPr>
        <w:t>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الموت </w:t>
      </w:r>
      <w:r>
        <w:rPr>
          <w:rFonts w:eastAsia="IRNazanin" w:cs="IRNazanin"/>
          <w:color w:val="111111"/>
          <w:sz w:val="28"/>
          <w:szCs w:val="28"/>
          <w:lang w:bidi="fa-IR"/>
        </w:rPr>
        <w:t>6:167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بدایة الباب ثم أحال علی الأحادیث التی رواها عن 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المساءلة فی القبر </w:t>
      </w:r>
      <w:r>
        <w:rPr>
          <w:rFonts w:eastAsia="IRNazanin" w:cs="IRNazanin"/>
          <w:color w:val="111111"/>
          <w:sz w:val="28"/>
          <w:szCs w:val="28"/>
          <w:lang w:bidi="fa-IR"/>
        </w:rPr>
        <w:t>6:279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الرجعة </w:t>
      </w:r>
      <w:r>
        <w:rPr>
          <w:rFonts w:eastAsia="IRNazanin" w:cs="IRNazanin"/>
          <w:color w:val="111111"/>
          <w:sz w:val="28"/>
          <w:szCs w:val="28"/>
          <w:lang w:bidi="fa-IR"/>
        </w:rPr>
        <w:t>53:128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الحوض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الشفاعة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الإعتقاد فی الوعد و الوعید </w:t>
      </w: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فیما یکتب علی العبد </w:t>
      </w:r>
      <w:r>
        <w:rPr>
          <w:rFonts w:eastAsia="IRNazanin" w:cs="IRNazanin"/>
          <w:color w:val="111111"/>
          <w:sz w:val="28"/>
          <w:szCs w:val="28"/>
          <w:lang w:bidi="fa-IR"/>
        </w:rPr>
        <w:t>5:327/21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العدل </w:t>
      </w: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الأعراف </w:t>
      </w:r>
      <w:r>
        <w:rPr>
          <w:rFonts w:eastAsia="IRNazanin" w:cs="IRNazanin"/>
          <w:color w:val="111111"/>
          <w:sz w:val="28"/>
          <w:szCs w:val="28"/>
          <w:lang w:bidi="fa-IR"/>
        </w:rPr>
        <w:t>8:340/23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الصراط </w:t>
      </w:r>
      <w:r>
        <w:rPr>
          <w:rFonts w:eastAsia="IRNazanin" w:cs="IRNazanin"/>
          <w:color w:val="111111"/>
          <w:sz w:val="28"/>
          <w:szCs w:val="28"/>
          <w:lang w:bidi="fa-IR"/>
        </w:rPr>
        <w:t>8:70/19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العقبات </w:t>
      </w:r>
      <w:r>
        <w:rPr>
          <w:rFonts w:eastAsia="IRNazanin" w:cs="IRNazanin"/>
          <w:color w:val="111111"/>
          <w:sz w:val="28"/>
          <w:szCs w:val="28"/>
          <w:lang w:bidi="fa-IR"/>
        </w:rPr>
        <w:t>7:129/11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الحساب و المیزان </w:t>
      </w:r>
      <w:r>
        <w:rPr>
          <w:rFonts w:eastAsia="IRNazanin" w:cs="IRNazanin"/>
          <w:color w:val="111111"/>
          <w:sz w:val="28"/>
          <w:szCs w:val="28"/>
          <w:lang w:bidi="fa-IR"/>
        </w:rPr>
        <w:t>7:251/9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الجنة و النار </w:t>
      </w:r>
      <w:r>
        <w:rPr>
          <w:rFonts w:eastAsia="IRNazanin" w:cs="IRNazanin"/>
          <w:color w:val="111111"/>
          <w:sz w:val="28"/>
          <w:szCs w:val="28"/>
          <w:lang w:bidi="fa-IR"/>
        </w:rPr>
        <w:t>8:200/204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کیفیة نزول الوحی </w:t>
      </w:r>
      <w:r>
        <w:rPr>
          <w:rFonts w:eastAsia="IRNazanin" w:cs="IRNazanin"/>
          <w:color w:val="111111"/>
          <w:sz w:val="28"/>
          <w:szCs w:val="28"/>
          <w:lang w:bidi="fa-IR"/>
        </w:rPr>
        <w:t>18:248/1</w:t>
      </w:r>
      <w:r>
        <w:rPr>
          <w:rFonts w:ascii="IRNazanin" w:hAnsi="IRNazanin" w:eastAsia="IRNazanin"/>
          <w:color w:val="111111"/>
          <w:sz w:val="28"/>
          <w:sz w:val="28"/>
          <w:szCs w:val="28"/>
          <w:lang w:bidi="fa-IR"/>
        </w:rPr>
        <w:t>،</w:t>
      </w:r>
      <w:r>
        <w:rPr>
          <w:rFonts w:eastAsia="IRNazanin" w:cs="IRNazanin"/>
          <w:color w:val="111111"/>
          <w:sz w:val="28"/>
          <w:szCs w:val="28"/>
          <w:lang w:bidi="fa-IR"/>
        </w:rPr>
        <w:t>57:370/11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نزول القرآن فی لیلة القدر </w:t>
      </w:r>
      <w:r>
        <w:rPr>
          <w:rFonts w:eastAsia="IRNazanin" w:cs="IRNazanin"/>
          <w:color w:val="111111"/>
          <w:sz w:val="28"/>
          <w:szCs w:val="28"/>
          <w:lang w:bidi="fa-IR"/>
        </w:rPr>
        <w:t>18:251/3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العصمة </w:t>
      </w:r>
      <w:r>
        <w:rPr>
          <w:rFonts w:eastAsia="IRNazanin" w:cs="IRNazanin"/>
          <w:color w:val="111111"/>
          <w:sz w:val="28"/>
          <w:szCs w:val="28"/>
          <w:lang w:bidi="fa-IR"/>
        </w:rPr>
        <w:t>25:211/24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نفی الغلو و التفویض </w:t>
      </w:r>
      <w:r>
        <w:rPr>
          <w:rFonts w:eastAsia="IRNazanin" w:cs="IRNazanin"/>
          <w:color w:val="111111"/>
          <w:sz w:val="28"/>
          <w:szCs w:val="28"/>
          <w:lang w:bidi="fa-IR"/>
        </w:rPr>
        <w:t>25:342/25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الظالمین </w:t>
      </w:r>
      <w:r>
        <w:rPr>
          <w:rFonts w:eastAsia="IRNazanin" w:cs="IRNazanin"/>
          <w:color w:val="111111"/>
          <w:sz w:val="28"/>
          <w:szCs w:val="28"/>
          <w:lang w:bidi="fa-IR"/>
        </w:rPr>
        <w:t>27:60/21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التقیة </w:t>
      </w:r>
      <w:r>
        <w:rPr>
          <w:rFonts w:eastAsia="IRNazanin" w:cs="IRNazanin"/>
          <w:color w:val="111111"/>
          <w:sz w:val="28"/>
          <w:szCs w:val="28"/>
          <w:lang w:bidi="fa-IR"/>
        </w:rPr>
        <w:t>72:264/1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علی ذکر الأحادیث الخمسة الأخیرة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الأخبار المفسّرة </w:t>
      </w:r>
      <w:r>
        <w:rPr>
          <w:rFonts w:eastAsia="IRNazanin" w:cs="IRNazanin"/>
          <w:color w:val="111111"/>
          <w:sz w:val="28"/>
          <w:szCs w:val="28"/>
          <w:lang w:bidi="fa-IR"/>
        </w:rPr>
        <w:t>25:235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الإعتقاد فی الأخبار الواردة فی الطب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الِاعْتِقَادَاتِ</w:t>
      </w:r>
    </w:p>
    <w:p>
      <w:pPr>
        <w:pStyle w:val="BookText"/>
        <w:rPr/>
      </w:pPr>
      <w:r>
        <w:rPr>
          <w:rFonts w:ascii="Amiri" w:hAnsi="Amiri" w:eastAsia="Amiri" w:cs="Amiri"/>
          <w:color w:val="111111"/>
          <w:sz w:val="28"/>
          <w:sz w:val="28"/>
          <w:szCs w:val="28"/>
          <w:rtl w:val="true"/>
          <w:lang w:bidi="ar-SA"/>
        </w:rPr>
        <w:t>لِلشَّيْخِ الصُّدَّوقِ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عَلَيْهِ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اَلْحَمْدُ لِلّٰهِ رَبِّ اَلْعٰالَمِینَ وحده لا شریک له و صلی الله علی سیدنا محمد النبی و آله و سلم تسلیما و حَسْبُنَا اَللّٰهُ وَ نِعْمَ اَلْوَکِیلُ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035_204848"/>
      <w:bookmarkStart w:id="13" w:name="pg20035_204848"/>
      <w:bookmarkEnd w:id="13"/>
    </w:p>
    <w:p>
      <w:pPr>
        <w:pStyle w:val="Heading2"/>
        <w:numPr>
          <w:ilvl w:val="1"/>
          <w:numId w:val="1"/>
        </w:numPr>
        <w:rPr/>
      </w:pPr>
      <w:bookmarkStart w:id="14" w:name="pg20035_204848"/>
      <w:bookmarkStart w:id="15" w:name="__RefHeading___Toc709716_373438147"/>
      <w:bookmarkStart w:id="16" w:name="_Toc4"/>
      <w:bookmarkEnd w:id="14"/>
      <w:bookmarkEnd w:id="15"/>
      <w:r>
        <w:rPr>
          <w:rtl w:val="true"/>
        </w:rPr>
        <w:t>[</w:t>
      </w:r>
      <w:r>
        <w:rPr/>
        <w:t>1</w:t>
      </w:r>
      <w:r>
        <w:rPr>
          <w:rtl w:val="true"/>
        </w:rPr>
        <w:t>]</w:t>
      </w:r>
      <w:r>
        <w:rPr>
          <w:rtl w:val="true"/>
        </w:rPr>
        <w:t>باب فی صفة اعتقاد الإمامیة فی التوحید</w:t>
      </w:r>
      <w:bookmarkEnd w:id="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أبو جعفر محمد بن علی 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المصنّف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اعتقادنا فی التوحید أنّ اللّه تعالی واحد، أحد،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کَمِثْلِهِ شَیْءٌ ، قدیم </w:t>
      </w:r>
      <w:r>
        <w:rPr>
          <w:rStyle w:val="FootnoteAnchor"/>
          <w:rtl w:val="true"/>
        </w:rPr>
        <w:footnoteReference w:id="3"/>
      </w:r>
      <w:r>
        <w:rPr>
          <w:rFonts w:ascii="IRNazanin" w:hAnsi="IRNazanin" w:eastAsia="IRNazanin"/>
          <w:color w:val="111111"/>
          <w:sz w:val="28"/>
          <w:sz w:val="28"/>
          <w:szCs w:val="28"/>
          <w:rtl w:val="true"/>
          <w:lang w:bidi="fa-IR"/>
        </w:rPr>
        <w:t>لم یزل و لا یزال، سمیع، بصیر، علیم، حکیم، حی، قیّوم، عزیز، قدوس، قادر،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بجوهر، و لا جسم </w:t>
      </w:r>
      <w:r>
        <w:rPr>
          <w:rStyle w:val="FootnoteAnchor"/>
          <w:rtl w:val="true"/>
        </w:rPr>
        <w:footnoteReference w:id="4"/>
      </w:r>
      <w:r>
        <w:rPr>
          <w:rFonts w:ascii="Amiri" w:hAnsi="Amiri" w:eastAsia="Amiri" w:cs="Amiri"/>
          <w:color w:val="111111"/>
          <w:sz w:val="28"/>
          <w:sz w:val="28"/>
          <w:szCs w:val="28"/>
          <w:rtl w:val="true"/>
          <w:lang w:bidi="ar-SA"/>
        </w:rPr>
        <w:t xml:space="preserve">و لا صورة، و لا عرض، و لا خط </w:t>
      </w:r>
      <w:r>
        <w:rPr>
          <w:rStyle w:val="FootnoteAnchor"/>
          <w:rtl w:val="true"/>
        </w:rPr>
        <w:footnoteReference w:id="5"/>
      </w:r>
      <w:r>
        <w:rPr>
          <w:rFonts w:ascii="IRNazanin" w:hAnsi="IRNazanin" w:eastAsia="IRNazanin"/>
          <w:color w:val="111111"/>
          <w:sz w:val="28"/>
          <w:sz w:val="28"/>
          <w:szCs w:val="28"/>
          <w:rtl w:val="true"/>
          <w:lang w:bidi="fa-IR"/>
        </w:rPr>
        <w:t xml:space="preserve">و لا سطح، و لا ثقل </w:t>
      </w:r>
      <w:r>
        <w:rPr>
          <w:rStyle w:val="FootnoteAnchor"/>
          <w:rtl w:val="true"/>
        </w:rPr>
        <w:footnoteReference w:id="6"/>
      </w:r>
      <w:r>
        <w:rPr>
          <w:rFonts w:ascii="IRNazanin" w:hAnsi="IRNazanin" w:eastAsia="IRNazanin"/>
          <w:color w:val="111111"/>
          <w:sz w:val="28"/>
          <w:sz w:val="28"/>
          <w:szCs w:val="28"/>
          <w:rtl w:val="true"/>
          <w:lang w:bidi="fa-IR"/>
        </w:rPr>
        <w:t>و لا خفّة، و لا سکون، و لا حرکة، و لا مکان،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تعالی متعال عن جمیع صفات خلقه،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الابطال و حد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تعالی شیء لا کالأشیاء، أحد، صمد، لَمْ یَلِدْ فیورث، وَ لَمْ یُولَدْ فیشارک، و لم یکن له کف أحد </w:t>
      </w:r>
      <w:r>
        <w:rPr>
          <w:rStyle w:val="FootnoteAnchor"/>
          <w:rtl w:val="true"/>
        </w:rPr>
        <w:footnoteReference w:id="7"/>
      </w:r>
      <w:r>
        <w:rPr>
          <w:rFonts w:ascii="IRNazanin" w:hAnsi="IRNazanin" w:eastAsia="IRNazanin"/>
          <w:color w:val="111111"/>
          <w:sz w:val="28"/>
          <w:sz w:val="28"/>
          <w:szCs w:val="28"/>
          <w:rtl w:val="true"/>
          <w:lang w:bidi="fa-IR"/>
        </w:rPr>
        <w:t xml:space="preserve">و لا ند </w:t>
      </w:r>
      <w:r>
        <w:rPr>
          <w:rStyle w:val="FootnoteAnchor"/>
          <w:rtl w:val="true"/>
        </w:rPr>
        <w:footnoteReference w:id="8"/>
      </w:r>
      <w:r>
        <w:rPr>
          <w:rFonts w:ascii="IRNazanin" w:hAnsi="IRNazanin" w:eastAsia="IRNazanin"/>
          <w:color w:val="111111"/>
          <w:sz w:val="28"/>
          <w:sz w:val="28"/>
          <w:szCs w:val="28"/>
          <w:rtl w:val="true"/>
          <w:lang w:bidi="fa-IR"/>
        </w:rPr>
        <w:t xml:space="preserve">و لا ضد </w:t>
      </w:r>
      <w:r>
        <w:rPr>
          <w:rStyle w:val="FootnoteAnchor"/>
          <w:rtl w:val="true"/>
        </w:rPr>
        <w:footnoteReference w:id="9"/>
      </w:r>
      <w:r>
        <w:rPr>
          <w:rFonts w:ascii="Amiri" w:hAnsi="Amiri" w:eastAsia="Amiri" w:cs="Amiri"/>
          <w:color w:val="111111"/>
          <w:sz w:val="28"/>
          <w:sz w:val="28"/>
          <w:szCs w:val="28"/>
          <w:rtl w:val="true"/>
          <w:lang w:bidi="ar-SA"/>
        </w:rPr>
        <w:t>و لا شبه، و لا صاحبة، و لا مثل، و لا نظیر، و لا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الأوهام و هو یدرکها، لاٰ تَأْخُذُهُ سِنَةٌ وَ لاٰ نَوْمٌ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اَللَّطِیفُ اَلْخَبِیرُ </w:t>
      </w:r>
      <w:r>
        <w:rPr>
          <w:rStyle w:val="FootnoteAnchor"/>
          <w:rtl w:val="true"/>
        </w:rPr>
        <w:footnoteReference w:id="10"/>
      </w:r>
      <w:r>
        <w:rPr>
          <w:rFonts w:ascii="Amiri" w:hAnsi="Amiri" w:eastAsia="Amiri" w:cs="Amiri"/>
          <w:color w:val="111111"/>
          <w:sz w:val="28"/>
          <w:sz w:val="28"/>
          <w:szCs w:val="28"/>
          <w:rtl w:val="true"/>
          <w:lang w:bidi="ar-SA"/>
        </w:rPr>
        <w:t xml:space="preserve">خٰالِقُ کُلِّ شَیْءٍ،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لَهُ اَلْخَلْقُ وَ اَلْأَمْرُ،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بالتشبیه فهو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إلی الإمامیة غیر ما وصف فی التوحید فهو کاذب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خبر یخالف ما ذکرت فی التوحید فهو موضوع مخترع، و کل حدیث لا یوافق کتاب اللّه فهو باطل، و إن وجد فی کتب علمائنا فهو مدلّس</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التی یتوهّمها الجهّال تشبیها للّه تعالی بخلقه، فمعانیها محمولة علی ما فی القرآن من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11"/>
      </w:r>
      <w:r>
        <w:rPr>
          <w:rFonts w:ascii="Amiri" w:hAnsi="Amiri" w:eastAsia="Amiri" w:cs="Amiri"/>
          <w:color w:val="111111"/>
          <w:sz w:val="28"/>
          <w:sz w:val="28"/>
          <w:szCs w:val="28"/>
          <w:rtl w:val="true"/>
          <w:lang w:bidi="ar-SA"/>
        </w:rPr>
        <w:t>و معنی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الذی یؤتی اللّه منه، و یتوجّه به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w:t>
      </w:r>
      <w:r>
        <w:rPr>
          <w:rStyle w:val="FootnoteAnchor"/>
          <w:rtl w:val="true"/>
        </w:rPr>
        <w:footnoteReference w:id="12"/>
      </w:r>
      <w:r>
        <w:rPr>
          <w:rFonts w:ascii="Amiri" w:hAnsi="Amiri" w:eastAsia="Amiri" w:cs="Amiri"/>
          <w:color w:val="111111"/>
          <w:sz w:val="28"/>
          <w:sz w:val="28"/>
          <w:szCs w:val="28"/>
          <w:rtl w:val="true"/>
          <w:lang w:bidi="ar-SA"/>
        </w:rPr>
        <w:t>و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الأمر و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Style w:val="FootnoteAnchor"/>
          <w:rtl w:val="true"/>
        </w:rPr>
        <w:footnoteReference w:id="13"/>
      </w:r>
      <w:r>
        <w:rPr>
          <w:rFonts w:ascii="Amiri" w:hAnsi="Amiri" w:eastAsia="Amiri" w:cs="Amiri"/>
          <w:color w:val="111111"/>
          <w:sz w:val="28"/>
          <w:sz w:val="28"/>
          <w:szCs w:val="28"/>
          <w:rtl w:val="true"/>
          <w:lang w:bidi="ar-SA"/>
        </w:rPr>
        <w:t>و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14"/>
      </w:r>
      <w:r>
        <w:rPr>
          <w:rFonts w:ascii="Amiri" w:hAnsi="Amiri" w:eastAsia="Amiri" w:cs="Amiri"/>
          <w:color w:val="111111"/>
          <w:sz w:val="28"/>
          <w:sz w:val="28"/>
          <w:szCs w:val="28"/>
          <w:rtl w:val="true"/>
          <w:lang w:bidi="ar-SA"/>
        </w:rPr>
        <w:t xml:space="preserve">و الروح هی روح مخلوقة جعل اللّه منها فی آدم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قال روحی کما قال بیتی و عبدی و جنّتی و ناری و سمائی و أرضی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یَدٰاهُ مَبْسُوطَتٰانِ </w:t>
      </w:r>
      <w:r>
        <w:rPr>
          <w:rStyle w:val="FootnoteAnchor"/>
          <w:rtl w:val="true"/>
        </w:rPr>
        <w:footnoteReference w:id="15"/>
      </w:r>
      <w:r>
        <w:rPr>
          <w:rFonts w:ascii="Amiri" w:hAnsi="Amiri" w:eastAsia="Amiri" w:cs="Amiri"/>
          <w:color w:val="111111"/>
          <w:sz w:val="28"/>
          <w:sz w:val="28"/>
          <w:szCs w:val="28"/>
          <w:rtl w:val="true"/>
          <w:lang w:bidi="ar-SA"/>
        </w:rPr>
        <w:t>یعنی نعمة الدنیا و نعمة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w:t>
      </w:r>
      <w:r>
        <w:rPr>
          <w:rStyle w:val="FootnoteAnchor"/>
          <w:rtl w:val="true"/>
        </w:rPr>
        <w:footnoteReference w:id="16"/>
      </w:r>
      <w:r>
        <w:rPr>
          <w:rFonts w:ascii="Amiri" w:hAnsi="Amiri" w:eastAsia="Amiri" w:cs="Amiri"/>
          <w:color w:val="111111"/>
          <w:sz w:val="28"/>
          <w:sz w:val="28"/>
          <w:szCs w:val="28"/>
          <w:rtl w:val="true"/>
          <w:lang w:bidi="ar-SA"/>
        </w:rPr>
        <w:t>و الأید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دٰاوُدَ ذَا اَلْأَیْدِ </w:t>
      </w:r>
      <w:r>
        <w:rPr>
          <w:rStyle w:val="FootnoteAnchor"/>
          <w:rtl w:val="true"/>
        </w:rPr>
        <w:footnoteReference w:id="17"/>
      </w:r>
      <w:r>
        <w:rPr>
          <w:rFonts w:ascii="Amiri" w:hAnsi="Amiri" w:eastAsia="Amiri" w:cs="Amiri"/>
          <w:color w:val="111111"/>
          <w:sz w:val="28"/>
          <w:sz w:val="28"/>
          <w:szCs w:val="28"/>
          <w:rtl w:val="true"/>
          <w:lang w:bidi="ar-SA"/>
        </w:rPr>
        <w:t xml:space="preserve">یعنی ذا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إِبْلِیسُ مٰا مَنَعَکَ أَنْ تَسْجُدَ لِمٰا خَلَقْتُ بِیَدَیَّ </w:t>
      </w:r>
      <w:r>
        <w:rPr>
          <w:rStyle w:val="FootnoteAnchor"/>
          <w:rtl w:val="true"/>
        </w:rPr>
        <w:footnoteReference w:id="18"/>
      </w:r>
      <w:r>
        <w:rPr>
          <w:rFonts w:ascii="IRNazanin" w:hAnsi="IRNazanin" w:eastAsia="IRNazanin"/>
          <w:color w:val="111111"/>
          <w:sz w:val="28"/>
          <w:sz w:val="28"/>
          <w:szCs w:val="28"/>
          <w:rtl w:val="true"/>
          <w:lang w:bidi="fa-IR"/>
        </w:rPr>
        <w:t xml:space="preserve">یعنی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بقدرتی و 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w:t>
      </w:r>
      <w:r>
        <w:rPr>
          <w:rStyle w:val="FootnoteAnchor"/>
          <w:rtl w:val="true"/>
        </w:rPr>
        <w:footnoteReference w:id="19"/>
      </w:r>
      <w:r>
        <w:rPr>
          <w:rFonts w:ascii="Amiri" w:hAnsi="Amiri" w:eastAsia="Amiri" w:cs="Amiri"/>
          <w:color w:val="111111"/>
          <w:sz w:val="28"/>
          <w:sz w:val="28"/>
          <w:szCs w:val="28"/>
          <w:rtl w:val="true"/>
          <w:lang w:bidi="ar-SA"/>
        </w:rPr>
        <w:t>یعنی ملکه، لا یملکها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مَطْوِیّٰاتٌ بِیَمِینِهِ </w:t>
      </w:r>
      <w:r>
        <w:rPr>
          <w:rStyle w:val="FootnoteAnchor"/>
          <w:rtl w:val="true"/>
        </w:rPr>
        <w:footnoteReference w:id="20"/>
      </w:r>
      <w:r>
        <w:rPr>
          <w:rFonts w:ascii="Amiri" w:hAnsi="Amiri" w:eastAsia="Amiri" w:cs="Amiri"/>
          <w:color w:val="111111"/>
          <w:sz w:val="28"/>
          <w:sz w:val="28"/>
          <w:szCs w:val="28"/>
          <w:rtl w:val="true"/>
          <w:lang w:bidi="ar-SA"/>
        </w:rPr>
        <w:t>یعنی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21"/>
      </w:r>
      <w:r>
        <w:rPr>
          <w:rFonts w:ascii="Amiri" w:hAnsi="Amiri" w:eastAsia="Amiri" w:cs="Amiri"/>
          <w:color w:val="111111"/>
          <w:sz w:val="28"/>
          <w:sz w:val="28"/>
          <w:szCs w:val="28"/>
          <w:rtl w:val="true"/>
          <w:lang w:bidi="ar-SA"/>
        </w:rPr>
        <w:t>یعنی و جاء 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Style w:val="FootnoteAnchor"/>
          <w:rtl w:val="true"/>
        </w:rPr>
        <w:footnoteReference w:id="22"/>
      </w:r>
      <w:r>
        <w:rPr>
          <w:rFonts w:ascii="Amiri" w:hAnsi="Amiri" w:eastAsia="Amiri" w:cs="Amiri"/>
          <w:color w:val="111111"/>
          <w:sz w:val="28"/>
          <w:sz w:val="28"/>
          <w:szCs w:val="28"/>
          <w:rtl w:val="true"/>
          <w:lang w:bidi="ar-SA"/>
        </w:rPr>
        <w:t>یعنی عن ثواب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w:t>
      </w:r>
      <w:r>
        <w:rPr>
          <w:rStyle w:val="FootnoteAnchor"/>
          <w:rtl w:val="true"/>
        </w:rPr>
        <w:footnoteReference w:id="23"/>
      </w:r>
      <w:r>
        <w:rPr>
          <w:rFonts w:ascii="IRNazanin" w:hAnsi="IRNazanin" w:eastAsia="IRNazanin"/>
          <w:color w:val="111111"/>
          <w:sz w:val="28"/>
          <w:sz w:val="28"/>
          <w:szCs w:val="28"/>
          <w:rtl w:val="true"/>
          <w:lang w:bidi="fa-IR"/>
        </w:rPr>
        <w:t xml:space="preserve">أی عذاب اللّه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Style w:val="FootnoteAnchor"/>
          <w:rtl w:val="true"/>
        </w:rPr>
        <w:footnoteReference w:id="25"/>
      </w:r>
      <w:r>
        <w:rPr>
          <w:rFonts w:ascii="IRNazanin" w:hAnsi="IRNazanin" w:eastAsia="IRNazanin"/>
          <w:color w:val="111111"/>
          <w:sz w:val="28"/>
          <w:sz w:val="28"/>
          <w:szCs w:val="28"/>
          <w:rtl w:val="true"/>
          <w:lang w:bidi="fa-IR"/>
        </w:rPr>
        <w:t xml:space="preserve">یعنی مشرقة تنظر </w:t>
      </w:r>
      <w:r>
        <w:rPr>
          <w:rStyle w:val="FootnoteAnchor"/>
          <w:rtl w:val="true"/>
        </w:rPr>
        <w:footnoteReference w:id="26"/>
      </w:r>
      <w:r>
        <w:rPr>
          <w:rFonts w:ascii="Amiri" w:hAnsi="Amiri" w:eastAsia="Amiri" w:cs="Amiri"/>
          <w:color w:val="111111"/>
          <w:sz w:val="28"/>
          <w:sz w:val="28"/>
          <w:szCs w:val="28"/>
          <w:rtl w:val="true"/>
          <w:lang w:bidi="ar-SA"/>
        </w:rPr>
        <w:t>ثواب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27"/>
      </w:r>
      <w:r>
        <w:rPr>
          <w:rFonts w:ascii="IRNazanin" w:hAnsi="IRNazanin" w:eastAsia="IRNazanin"/>
          <w:color w:val="111111"/>
          <w:sz w:val="28"/>
          <w:sz w:val="28"/>
          <w:szCs w:val="28"/>
          <w:rtl w:val="true"/>
          <w:lang w:bidi="fa-IR"/>
        </w:rPr>
        <w:t xml:space="preserve">و غضب اللّه عقابه،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رضاه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فِی نَفْسِی وَ لاٰ أَعْلَمُ مٰا فِی نَفْسِکَ </w:t>
      </w:r>
      <w:r>
        <w:rPr>
          <w:rStyle w:val="FootnoteAnchor"/>
          <w:rtl w:val="true"/>
        </w:rPr>
        <w:footnoteReference w:id="28"/>
      </w:r>
      <w:r>
        <w:rPr>
          <w:rFonts w:ascii="Amiri" w:hAnsi="Amiri" w:eastAsia="Amiri" w:cs="Amiri"/>
          <w:color w:val="111111"/>
          <w:sz w:val="28"/>
          <w:sz w:val="28"/>
          <w:szCs w:val="28"/>
          <w:rtl w:val="true"/>
          <w:lang w:bidi="ar-SA"/>
        </w:rPr>
        <w:t>أی تعلم غیبی و لا أعلم غیبک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w:t>
      </w:r>
      <w:r>
        <w:rPr>
          <w:rStyle w:val="FootnoteAnchor"/>
          <w:rtl w:val="true"/>
        </w:rPr>
        <w:footnoteReference w:id="29"/>
      </w:r>
      <w:r>
        <w:rPr>
          <w:rFonts w:ascii="Amiri" w:hAnsi="Amiri" w:eastAsia="Amiri" w:cs="Amiri"/>
          <w:color w:val="111111"/>
          <w:sz w:val="28"/>
          <w:sz w:val="28"/>
          <w:szCs w:val="28"/>
          <w:rtl w:val="true"/>
          <w:lang w:bidi="ar-SA"/>
        </w:rPr>
        <w:t>یعنی 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w:t>
      </w:r>
      <w:r>
        <w:rPr>
          <w:rStyle w:val="FootnoteAnchor"/>
          <w:rtl w:val="true"/>
        </w:rPr>
        <w:footnoteReference w:id="31"/>
      </w:r>
      <w:r>
        <w:rPr>
          <w:rFonts w:ascii="IRNazanin" w:hAnsi="IRNazanin" w:eastAsia="IRNazanin"/>
          <w:color w:val="111111"/>
          <w:sz w:val="28"/>
          <w:sz w:val="28"/>
          <w:szCs w:val="28"/>
          <w:rtl w:val="true"/>
          <w:lang w:bidi="fa-IR"/>
        </w:rPr>
        <w:t xml:space="preserve">و الصلاة من اللّه رحمة، و من الملائکة </w:t>
      </w:r>
      <w:r>
        <w:rPr>
          <w:rStyle w:val="FootnoteAnchor"/>
          <w:rtl w:val="true"/>
        </w:rPr>
        <w:footnoteReference w:id="32"/>
      </w:r>
      <w:r>
        <w:rPr>
          <w:rFonts w:ascii="Amiri" w:hAnsi="Amiri" w:eastAsia="Amiri" w:cs="Amiri"/>
          <w:color w:val="111111"/>
          <w:sz w:val="28"/>
          <w:sz w:val="28"/>
          <w:szCs w:val="28"/>
          <w:rtl w:val="true"/>
          <w:lang w:bidi="ar-SA"/>
        </w:rPr>
        <w:t>تزکیة، و من الناس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هُوَ خٰادِعُهُمْ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ذلک کلّه </w:t>
      </w:r>
      <w:r>
        <w:rPr>
          <w:rStyle w:val="FootnoteAnchor"/>
          <w:rtl w:val="true"/>
        </w:rPr>
        <w:footnoteReference w:id="38"/>
      </w:r>
      <w:r>
        <w:rPr>
          <w:rFonts w:ascii="Amiri" w:hAnsi="Amiri" w:eastAsia="Amiri" w:cs="Amiri"/>
          <w:color w:val="111111"/>
          <w:sz w:val="28"/>
          <w:sz w:val="28"/>
          <w:szCs w:val="28"/>
          <w:rtl w:val="true"/>
          <w:lang w:bidi="ar-SA"/>
        </w:rPr>
        <w:t>انّه عزّ و جلّ یجازیهم جزاء المکر، و جزاء المخادعة، و جزاء الاستهزاء، و جزاء السخریة، و جزاء النسیان ، و هو أن ینسیهم أنفسهم،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w:t>
      </w:r>
      <w:r>
        <w:rPr>
          <w:rStyle w:val="FootnoteAnchor"/>
          <w:rtl w:val="true"/>
        </w:rPr>
        <w:footnoteReference w:id="39"/>
      </w:r>
      <w:r>
        <w:rPr>
          <w:rFonts w:ascii="IRNazanin" w:hAnsi="IRNazanin" w:eastAsia="IRNazanin"/>
          <w:color w:val="111111"/>
          <w:sz w:val="28"/>
          <w:sz w:val="28"/>
          <w:szCs w:val="28"/>
          <w:rtl w:val="true"/>
          <w:lang w:bidi="fa-IR"/>
        </w:rPr>
        <w:t xml:space="preserve">لأنّه عزّ و جلّ فی الحقیقة لا یمکر، و لا یخادع، و لا یستهزئ، و لا یسخر، و لا ینسی </w:t>
      </w:r>
      <w:r>
        <w:rPr>
          <w:rStyle w:val="FootnoteAnchor"/>
          <w:rtl w:val="true"/>
        </w:rPr>
        <w:footnoteReference w:id="40"/>
      </w:r>
      <w:r>
        <w:rPr>
          <w:rFonts w:ascii="Amiri" w:hAnsi="Amiri" w:eastAsia="Amiri" w:cs="Amiri"/>
          <w:color w:val="111111"/>
          <w:sz w:val="28"/>
          <w:sz w:val="28"/>
          <w:szCs w:val="28"/>
          <w:rtl w:val="true"/>
          <w:lang w:bidi="ar-SA"/>
        </w:rPr>
        <w:t xml:space="preserve">تعالی اللّه عزّ و جلّ عن ذلک علوّا کبیرا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یرد فی الأخبار التی یشنع بها أهل الخلاف و الإلحاد إلاّ مثل هذه الألفاظ، و معانیها معانی ألفاظ القرآن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7" w:name="pg20035_204854"/>
    </w:p>
    <w:p>
      <w:pPr>
        <w:pStyle w:val="Heading2"/>
        <w:numPr>
          <w:ilvl w:val="1"/>
          <w:numId w:val="1"/>
        </w:numPr>
        <w:rPr/>
      </w:pPr>
      <w:bookmarkStart w:id="18" w:name="__RefHeading___Toc709718_373438147"/>
      <w:bookmarkStart w:id="19" w:name="_Toc5"/>
      <w:bookmarkEnd w:id="17"/>
      <w:bookmarkEnd w:id="18"/>
      <w:r>
        <w:rPr>
          <w:rtl w:val="true"/>
        </w:rPr>
        <w:t>[</w:t>
      </w:r>
      <w:r>
        <w:rPr/>
        <w:t>2</w:t>
      </w:r>
      <w:r>
        <w:rPr>
          <w:rtl w:val="true"/>
        </w:rPr>
        <w:t>]</w:t>
      </w:r>
      <w:r>
        <w:rPr>
          <w:rtl w:val="true"/>
        </w:rPr>
        <w:t>باب الاعتقاد فی صفات الذات و صفات الأفعال</w:t>
      </w:r>
      <w:bookmarkEnd w:id="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وصفنا اللّه تعالی به من صفات ذاته ، فإنّما </w:t>
      </w:r>
      <w:r>
        <w:rPr>
          <w:rStyle w:val="FootnoteAnchor"/>
          <w:rtl w:val="true"/>
        </w:rPr>
        <w:footnoteReference w:id="43"/>
      </w:r>
      <w:r>
        <w:rPr>
          <w:rFonts w:ascii="IRNazanin" w:hAnsi="IRNazanin" w:eastAsia="IRNazanin"/>
          <w:color w:val="111111"/>
          <w:sz w:val="28"/>
          <w:sz w:val="28"/>
          <w:szCs w:val="28"/>
          <w:rtl w:val="true"/>
          <w:lang w:bidi="fa-IR"/>
        </w:rPr>
        <w:t>نرید بکل صفة منها نفی ضدّها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تعالی سمیعا، بصیرا، علیما، حکیما، قادرا، عزیزا، حیّا، قیّوما، واحدا،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صفات ذاته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لم یزل خلاقا </w:t>
      </w:r>
      <w:r>
        <w:rPr>
          <w:rStyle w:val="FootnoteAnchor"/>
          <w:rtl w:val="true"/>
        </w:rPr>
        <w:footnoteReference w:id="45"/>
      </w:r>
      <w:r>
        <w:rPr>
          <w:rFonts w:ascii="IRNazanin" w:hAnsi="IRNazanin" w:eastAsia="IRNazanin"/>
          <w:color w:val="111111"/>
          <w:sz w:val="28"/>
          <w:sz w:val="28"/>
          <w:szCs w:val="28"/>
          <w:rtl w:val="true"/>
          <w:lang w:bidi="fa-IR"/>
        </w:rPr>
        <w:t>، فاعلا، شائیا، مریدا، راضیا، ساخطا، رازقا، وهّابا، متکلّما، لأنّ هذه صفات أفعاله، و هی محدثة،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تعالی موصوفا بها</w:t>
      </w:r>
      <w:r>
        <w:rPr>
          <w:rFonts w:eastAsia="IRNazanin" w:cs="IRNazanin"/>
          <w:color w:val="111111"/>
          <w:sz w:val="28"/>
          <w:szCs w:val="28"/>
          <w:rtl w:val="true"/>
          <w:lang w:bidi="fa-IR"/>
        </w:rPr>
        <w:t xml:space="preserve">. </w:t>
      </w:r>
      <w:bookmarkStart w:id="20" w:name="pg20035_204855"/>
    </w:p>
    <w:p>
      <w:pPr>
        <w:pStyle w:val="Heading2"/>
        <w:numPr>
          <w:ilvl w:val="1"/>
          <w:numId w:val="1"/>
        </w:numPr>
        <w:rPr/>
      </w:pPr>
      <w:bookmarkStart w:id="21" w:name="__RefHeading___Toc709720_373438147"/>
      <w:bookmarkStart w:id="22" w:name="_Toc6"/>
      <w:bookmarkEnd w:id="20"/>
      <w:bookmarkEnd w:id="21"/>
      <w:r>
        <w:rPr>
          <w:rtl w:val="true"/>
        </w:rPr>
        <w:t>[</w:t>
      </w:r>
      <w:r>
        <w:rPr/>
        <w:t>3</w:t>
      </w:r>
      <w:r>
        <w:rPr>
          <w:rtl w:val="true"/>
        </w:rPr>
        <w:t>]</w:t>
      </w:r>
      <w:r>
        <w:rPr>
          <w:rtl w:val="true"/>
        </w:rPr>
        <w:t>باب الاعتقاد فی التکلیف</w:t>
      </w:r>
      <w:bookmarkEnd w:id="22"/>
    </w:p>
    <w:p>
      <w:pPr>
        <w:pStyle w:val="BookText"/>
        <w:rPr/>
      </w:pPr>
      <w:r>
        <w:rPr>
          <w:rFonts w:ascii="Amiri" w:hAnsi="Amiri" w:eastAsia="Amiri" w:cs="Amiri"/>
          <w:color w:val="111111"/>
          <w:sz w:val="28"/>
          <w:sz w:val="28"/>
          <w:szCs w:val="28"/>
          <w:rtl w:val="true"/>
          <w:lang w:bidi="ar-SA"/>
        </w:rPr>
        <w:t xml:space="preserve">قال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التکلیف هو أنّ اللّه تعالی لم یکلّف عباده إلاّ دون ما یطیقون، کما قال اللّه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Style w:val="FootnoteAnchor"/>
          <w:rtl w:val="true"/>
        </w:rPr>
        <w:footnoteReference w:id="46"/>
      </w:r>
      <w:r>
        <w:rPr>
          <w:rFonts w:ascii="Amiri" w:hAnsi="Amiri" w:eastAsia="Amiri" w:cs="Amiri"/>
          <w:color w:val="111111"/>
          <w:sz w:val="28"/>
          <w:sz w:val="28"/>
          <w:szCs w:val="28"/>
          <w:rtl w:val="true"/>
          <w:lang w:bidi="ar-SA"/>
        </w:rPr>
        <w:t>و الوسع دون الطاقة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تَعَالَی مَا کَلَّفَ اَلْعِبَادَ إِلاَّ دُونَ مَا یُطِیقُونَ، لِأَنَّهُ کَلَّفَهُمْ فِی کُلِّ یَوْمٍ وَ لَیْلَةٍ خَمْسَ صَلَوَاتٍ، وَ کَلَّفَهُمْ فِی اَلسَّنَةِ صِیَامَ ثَلاَثِینَ یَوْماً، وَ کَلَّفَهُمْ فِی کُلِّ مِائَتَیْ دِرْهَمٍ خَمْسَةَ دَرَاهِمَ، وَ کَلَّفَهُمْ حَجَّةً وَاحِدَةً، وَ هُمْ یُطِیقُونَ أَکْثَرَ مِنْ ذَلِکَ</w:t>
      </w:r>
      <w:r>
        <w:rPr>
          <w:rFonts w:eastAsia="Amiri" w:cs="Amiri" w:ascii="Amiri" w:hAnsi="Amiri"/>
          <w:color w:val="111111"/>
          <w:sz w:val="28"/>
          <w:szCs w:val="28"/>
          <w:rtl w:val="true"/>
          <w:lang w:bidi="ar-SA"/>
        </w:rPr>
        <w:t xml:space="preserve">» </w:t>
      </w:r>
      <w:r>
        <w:rPr>
          <w:rStyle w:val="FootnoteAnchor"/>
          <w:rtl w:val="true"/>
        </w:rPr>
        <w:footnoteReference w:id="47"/>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3" w:name="pg20035_204856"/>
    </w:p>
    <w:p>
      <w:pPr>
        <w:pStyle w:val="Heading2"/>
        <w:numPr>
          <w:ilvl w:val="1"/>
          <w:numId w:val="1"/>
        </w:numPr>
        <w:rPr/>
      </w:pPr>
      <w:bookmarkStart w:id="24" w:name="__RefHeading___Toc709722_373438147"/>
      <w:bookmarkStart w:id="25" w:name="_Toc7"/>
      <w:bookmarkEnd w:id="23"/>
      <w:bookmarkEnd w:id="24"/>
      <w:r>
        <w:rPr>
          <w:rtl w:val="true"/>
        </w:rPr>
        <w:t>[</w:t>
      </w:r>
      <w:r>
        <w:rPr/>
        <w:t>4</w:t>
      </w:r>
      <w:r>
        <w:rPr>
          <w:rtl w:val="true"/>
        </w:rPr>
        <w:t>]</w:t>
      </w:r>
      <w:r>
        <w:rPr>
          <w:rtl w:val="true"/>
        </w:rPr>
        <w:t>باب الاعتقاد فی أفعال العباد</w:t>
      </w:r>
      <w:bookmarkEnd w:id="25"/>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أفعال العباد أنّها مخلوقة خلق تقدیر لا خلق تکوین، و معنی ذلک أنّه لم یزل اللّه عالما بمقادیرها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709724_373438147"/>
      <w:bookmarkStart w:id="27" w:name="_Toc8"/>
      <w:bookmarkEnd w:id="26"/>
      <w:r>
        <w:rPr>
          <w:rtl w:val="true"/>
        </w:rPr>
        <w:t>[</w:t>
      </w:r>
      <w:r>
        <w:rPr/>
        <w:t>5</w:t>
      </w:r>
      <w:r>
        <w:rPr>
          <w:rtl w:val="true"/>
        </w:rPr>
        <w:t>]</w:t>
      </w:r>
      <w:r>
        <w:rPr>
          <w:rtl w:val="true"/>
        </w:rPr>
        <w:t>باب الاعتقاد فی نفی الجبر و التفویض</w:t>
      </w:r>
      <w:bookmarkEnd w:id="27"/>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تَفْوِیضَ، بَلْ أَمْرٌ بَیْنَ أَمْرَیْنِ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بَیْنَ أَمْرَیْنِ؟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مَثَلُ رَجُلٍ رَأَیْتَهُ عَلَی مَعْصِیَةٍ، فَنَهَیْتَهُ فَلَمْ یَنْتَهِ، فَتَرَکْتَهُ فَفَعَلَ تِلْکَ اَلْمَعْصِیَةَ، فَلَیْسَ حَیْثُ لاَ یَقْبَلُ مِنْکَ فَتَرَکْتَهُ کُنْتَ أَنْتَ اَلَّذِی أَمَرْتَهُ بِالْمَعْصِیَةِ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8" w:name="pg20035_204857"/>
    </w:p>
    <w:p>
      <w:pPr>
        <w:pStyle w:val="Heading2"/>
        <w:numPr>
          <w:ilvl w:val="1"/>
          <w:numId w:val="1"/>
        </w:numPr>
        <w:rPr/>
      </w:pPr>
      <w:bookmarkStart w:id="29" w:name="__RefHeading___Toc709726_373438147"/>
      <w:bookmarkStart w:id="30" w:name="_Toc9"/>
      <w:bookmarkEnd w:id="28"/>
      <w:bookmarkEnd w:id="29"/>
      <w:r>
        <w:rPr>
          <w:rtl w:val="true"/>
        </w:rPr>
        <w:t>[</w:t>
      </w:r>
      <w:r>
        <w:rPr/>
        <w:t>6</w:t>
      </w:r>
      <w:r>
        <w:rPr>
          <w:rtl w:val="true"/>
        </w:rPr>
        <w:t xml:space="preserve">] </w:t>
      </w:r>
      <w:r>
        <w:rPr>
          <w:rtl w:val="true"/>
        </w:rPr>
        <w:t>باب الاعتقاد فی الارادة و المشیئة</w:t>
      </w:r>
      <w:bookmarkEnd w:id="30"/>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وَ أَرَادَ، وَ لَمْ یُحِبَّ وَ لَمْ یَرْضَ، شَاءَ أَنْ لاَ یَکُونَ شَیْءٌ إِلاَّ بِعِلْمِهِ، وَ أَرَادَ مِثْلَ ذَلِکَ، وَ لَمْ یُحِبَّ أَنْ یُقَالَ لَهُ ثَالِثُ ثَلاَثَةٍ، وَ لَمْ یَرْضَ لِعِبٰادِهِ اَلْکُفْرَ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لَوْ کٰانَ لَنٰا مِنَ اَلْأَمْرِ شَیْءٌ مٰا قُتِلْنٰا هٰاهُنٰا قُلْ لَوْ کُنْتُمْ فِی بُیُوتِکُمْ لَبَرَزَ اَلَّذِینَ کُتِبَ عَلَیْهِمُ اَلْقَتْلُ إِلیٰ مَضٰاجِعِهِمْ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مٰا فَعَلُوهُ فَذَرْهُمْ وَ مٰا یَفْتَرُونَ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أَلاّٰ یَجْعَلَ لَهُمْ حَظًّا فِی اَلْآخِرَةِ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یُرِیدُ ظُلْماً لِلْعِبٰادِ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اعتقادنا فی الإرادة و المشیئة، و مخالفونا یشنّعون علینا فی 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نقول إنّ اللّه تعالی أراد المعاصی، و أراد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هکذا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أراد أن یکون معصیة العاصین خلاف طاعة 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أن تکون المعاصی غیر منسوبة إلیه من جهة الفعل، و أراد أن یکون موصوفا بالعلم بها قبل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أن یکون قتل الحسین معصیة خلاف الطاعة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أن یکون قتله </w:t>
      </w:r>
      <w:r>
        <w:rPr>
          <w:rStyle w:val="FootnoteAnchor"/>
          <w:rtl w:val="true"/>
        </w:rPr>
        <w:footnoteReference w:id="69"/>
      </w:r>
      <w:r>
        <w:rPr>
          <w:rFonts w:ascii="IRNazanin" w:hAnsi="IRNazanin" w:eastAsia="IRNazanin"/>
          <w:color w:val="111111"/>
          <w:sz w:val="28"/>
          <w:sz w:val="28"/>
          <w:szCs w:val="28"/>
          <w:rtl w:val="true"/>
          <w:lang w:bidi="fa-IR"/>
        </w:rPr>
        <w:t>منهیا عنه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تعالی أن یکون قتله مستقبحا غیر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تعالی أن یکون قتله سخطا للّه غیر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ألاّ یمنع من قتله بالجبر و القدرة </w:t>
      </w:r>
      <w:r>
        <w:rPr>
          <w:rStyle w:val="FootnoteAnchor"/>
          <w:rtl w:val="true"/>
        </w:rPr>
        <w:footnoteReference w:id="70"/>
      </w:r>
      <w:r>
        <w:rPr>
          <w:rFonts w:ascii="IRNazanin" w:hAnsi="IRNazanin" w:eastAsia="IRNazanin"/>
          <w:color w:val="111111"/>
          <w:sz w:val="28"/>
          <w:sz w:val="28"/>
          <w:szCs w:val="28"/>
          <w:rtl w:val="true"/>
          <w:lang w:bidi="fa-IR"/>
        </w:rPr>
        <w:t xml:space="preserve">کما منع منه بالنهی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لا یدفع القتل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دفع الحرق عن إبراهیم ، حین قال تعالی للنار التی القی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تعالی عالما بأنّ الحسین سیقتل </w:t>
      </w:r>
      <w:r>
        <w:rPr>
          <w:rStyle w:val="FootnoteAnchor"/>
          <w:rtl w:val="true"/>
        </w:rPr>
        <w:footnoteReference w:id="73"/>
      </w:r>
      <w:r>
        <w:rPr>
          <w:rFonts w:ascii="IRNazanin" w:hAnsi="IRNazanin" w:eastAsia="IRNazanin"/>
          <w:color w:val="111111"/>
          <w:sz w:val="28"/>
          <w:sz w:val="28"/>
          <w:szCs w:val="28"/>
          <w:rtl w:val="true"/>
          <w:lang w:bidi="fa-IR"/>
        </w:rPr>
        <w:t>و یدرک بقتله سعادة الأبد، و یشقی قاتله شقاوة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کان، و ما لم یشأ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اعتقادنا فی الإرادة و المشیئة دون ما نسبه </w:t>
      </w:r>
      <w:r>
        <w:rPr>
          <w:rStyle w:val="FootnoteAnchor"/>
          <w:rtl w:val="true"/>
        </w:rPr>
        <w:footnoteReference w:id="74"/>
      </w:r>
      <w:r>
        <w:rPr>
          <w:rFonts w:ascii="IRNazanin" w:hAnsi="IRNazanin" w:eastAsia="IRNazanin"/>
          <w:color w:val="111111"/>
          <w:sz w:val="28"/>
          <w:sz w:val="28"/>
          <w:szCs w:val="28"/>
          <w:rtl w:val="true"/>
          <w:lang w:bidi="fa-IR"/>
        </w:rPr>
        <w:t>إلینا أهل الخلاف و المشنّعون علینا من أهل الإلحاد</w:t>
      </w:r>
      <w:r>
        <w:rPr>
          <w:rFonts w:eastAsia="IRNazanin" w:cs="IRNazanin"/>
          <w:color w:val="111111"/>
          <w:sz w:val="28"/>
          <w:szCs w:val="28"/>
          <w:rtl w:val="true"/>
          <w:lang w:bidi="fa-IR"/>
        </w:rPr>
        <w:t xml:space="preserve">. </w:t>
      </w:r>
      <w:bookmarkStart w:id="31" w:name="pg20035_204861"/>
    </w:p>
    <w:p>
      <w:pPr>
        <w:pStyle w:val="Heading2"/>
        <w:numPr>
          <w:ilvl w:val="1"/>
          <w:numId w:val="1"/>
        </w:numPr>
        <w:rPr/>
      </w:pPr>
      <w:bookmarkStart w:id="32" w:name="__RefHeading___Toc709728_373438147"/>
      <w:bookmarkStart w:id="33" w:name="_Toc10"/>
      <w:bookmarkEnd w:id="31"/>
      <w:bookmarkEnd w:id="32"/>
      <w:r>
        <w:rPr>
          <w:rtl w:val="true"/>
        </w:rPr>
        <w:t>[</w:t>
      </w:r>
      <w:r>
        <w:rPr/>
        <w:t>7</w:t>
      </w:r>
      <w:r>
        <w:rPr>
          <w:rtl w:val="true"/>
        </w:rPr>
        <w:t>]</w:t>
      </w:r>
      <w:r>
        <w:rPr>
          <w:rtl w:val="true"/>
        </w:rPr>
        <w:t>باب الاعتقاد فی القضاء و القدر</w:t>
      </w:r>
      <w:bookmarkEnd w:id="33"/>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حِینَ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اَلْقَضَاءِ وَ اَلْقَدَرِ؟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إِنَّ اَللَّهَ تَعَالَی إِذَا جَمَعَ اَلْعِبَادَ یَوْمَ اَلْقِیَامَةِ سَأَلَهُمْ عَمَّا عَهِدَ إِلَیْهِمْ، وَ لَمْ یَسْأَلْهُمْ عَمَّا قَضَی عَلَیْهِمْ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فی القدر منهی عنه ، کما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قَدْ سَأَلَهُ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عَمِیقٌ فَلاَ تَلِجْهُ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سَأَلَهُ ثَانِیَةً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طَرِیقٌ مُظْلِمٌ فَلاَ تَسْلُکْهُ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سَأَلَهُ 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تَتَکَلَّفْهُ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اَلْقَدَرَ سِرٌّ مِنْ سِرِّ اَللَّهِ، وَ سِتْرٌ مِنْ سِتْرِ اَللَّهِ، وَ حِرْزٌ مِنْ حِرْزِ اَللَّهِ، مَرْفُوعٌ فِی حِجَابِ اَللَّهِ، مَطْوِیٌّ عَنْ خَلْقِ اَللَّهِ، مَخْتُومٌ </w:t>
      </w:r>
    </w:p>
    <w:p>
      <w:pPr>
        <w:pStyle w:val="BookText"/>
        <w:rPr/>
      </w:pPr>
      <w:r>
        <w:rPr>
          <w:rFonts w:ascii="Amiri" w:hAnsi="Amiri" w:eastAsia="Amiri" w:cs="Amiri"/>
          <w:color w:val="111111"/>
          <w:sz w:val="28"/>
          <w:sz w:val="28"/>
          <w:szCs w:val="28"/>
          <w:rtl w:val="true"/>
          <w:lang w:bidi="ar-SA"/>
        </w:rPr>
        <w:t xml:space="preserve">بِخَاتَمِ اَللَّهِ، سَابِقٌ فِی عِلْمِ اَللَّهِ، وَضَعَ اَللَّهُ عَنِ اَلْعِبَادِ عِلْمَهُ </w:t>
      </w:r>
      <w:r>
        <w:rPr>
          <w:rStyle w:val="FootnoteAnchor"/>
          <w:rtl w:val="true"/>
        </w:rPr>
        <w:footnoteReference w:id="78"/>
      </w:r>
      <w:r>
        <w:rPr>
          <w:rFonts w:ascii="Amiri" w:hAnsi="Amiri" w:eastAsia="Amiri" w:cs="Amiri"/>
          <w:color w:val="111111"/>
          <w:sz w:val="28"/>
          <w:sz w:val="28"/>
          <w:szCs w:val="28"/>
          <w:rtl w:val="true"/>
          <w:lang w:bidi="ar-SA"/>
        </w:rPr>
        <w:t xml:space="preserve">وَ رَفَعَهُ فَوْقَ شَهَادَاتِهِمْ، لِأَنَّهُمْ لاَ یَنَالُونَهُ بِحَقِیقَتِهِ اَلرَّبَّانِیَّةِ، وَ لاَ بِقُدْرَتِهِ اَلصَّمَدَانِیَّةِ، وَ لاَ بِعَظَمَتِهِ اَلنُّورَانِیَّةِ، وَ لاَ بِعِزَّتِهِ اَلْوَحْدَانِیَّةِ </w:t>
      </w:r>
      <w:r>
        <w:rPr>
          <w:rStyle w:val="FootnoteAnchor"/>
          <w:rtl w:val="true"/>
        </w:rPr>
        <w:footnoteReference w:id="79"/>
      </w:r>
      <w:r>
        <w:rPr>
          <w:rFonts w:ascii="Amiri" w:hAnsi="Amiri" w:eastAsia="Amiri" w:cs="Amiri"/>
          <w:color w:val="111111"/>
          <w:sz w:val="28"/>
          <w:sz w:val="28"/>
          <w:szCs w:val="28"/>
          <w:rtl w:val="true"/>
          <w:lang w:bidi="ar-SA"/>
        </w:rPr>
        <w:t xml:space="preserve">لِأَنَّهُ بَحْرٌ زَاخِرٌ مَوَّاجٌ خَالِصٌ لِلَّهِ تَعَالَی، عُمْقُهُ مَا بَیْنَ اَلسَّمَاءِ وَ اَلْأَرْضِ، عَرْضُهُ مَا بَیْنَ اَلْمَشْرِقِ وَ اَلْمَغْرِبِ، أَسْوَدُ کَاللَّیْلِ اَلدَّامِسِ، کَثِیرُ اَلْحَیَّاتِ وَ اَلْحِیتَانِ، یَعْلُو مَرَّةً وَ یَسْفُلُ أُخْرَی، فِی قَعْرِهِ شَمْسٌ تُضِیءُ لاَ یَنْبَغِی أَنْ یَطَّلِعَ إِلَیْهَا إِلاَّ اَلْوَاحِدُ اَلْفَرْدُ، فَمَنْ تَطَلَّعَ عَلَیْهَا </w:t>
      </w:r>
      <w:r>
        <w:rPr>
          <w:rStyle w:val="FootnoteAnchor"/>
          <w:rtl w:val="true"/>
        </w:rPr>
        <w:footnoteReference w:id="80"/>
      </w:r>
      <w:r>
        <w:rPr>
          <w:rFonts w:ascii="Amiri" w:hAnsi="Amiri" w:eastAsia="Amiri" w:cs="Amiri"/>
          <w:color w:val="111111"/>
          <w:sz w:val="28"/>
          <w:sz w:val="28"/>
          <w:szCs w:val="28"/>
          <w:rtl w:val="true"/>
          <w:lang w:bidi="ar-SA"/>
        </w:rPr>
        <w:t xml:space="preserve">فَقَدْ ضَادَّ اَللَّهَ فِی حُکْمِهِ، وَ نَازَعَهُ فِی سُلْطَانِهِ، وَ کَشَفَ عَنْ سِرِّهِ وَ سِتْرِهِ، وَ بَاءَ بِغَضَبٍ مِنَ اَللّٰهِ ، وَ مَأْوٰاهُ جَهَنَّمُ وَ بِئْسَ اَلْمَصِیرُ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مِنْ عِنْدِ حَائِطٍ مَائِلٍ إِلَی مَکَانٍ آخَرَ،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تَفِرُّ مِنْ قَضَاءِ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إِلَی قَدَرِ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اَلرُّقَی، هَلْ تَدْفَعُ مِنَ اَلْقَدَرِ شَیْئاً؟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مِنَ اَلْقَدَرِ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34" w:name="pg20035_204863"/>
    </w:p>
    <w:p>
      <w:pPr>
        <w:pStyle w:val="Heading2"/>
        <w:numPr>
          <w:ilvl w:val="1"/>
          <w:numId w:val="1"/>
        </w:numPr>
        <w:rPr/>
      </w:pPr>
      <w:bookmarkStart w:id="35" w:name="__RefHeading___Toc709730_373438147"/>
      <w:bookmarkStart w:id="36" w:name="_Toc11"/>
      <w:bookmarkEnd w:id="34"/>
      <w:bookmarkEnd w:id="35"/>
      <w:r>
        <w:rPr>
          <w:rtl w:val="true"/>
        </w:rPr>
        <w:t>[</w:t>
      </w:r>
      <w:r>
        <w:rPr/>
        <w:t>8</w:t>
      </w:r>
      <w:r>
        <w:rPr>
          <w:rtl w:val="true"/>
        </w:rPr>
        <w:t>]</w:t>
      </w:r>
      <w:r>
        <w:rPr>
          <w:rtl w:val="true"/>
        </w:rPr>
        <w:t>باب الاعتقاد فی الفطرة و الهدایة</w:t>
      </w:r>
      <w:bookmarkEnd w:id="36"/>
    </w:p>
    <w:p>
      <w:pPr>
        <w:pStyle w:val="BookText"/>
        <w:rPr/>
      </w:pPr>
      <w:r>
        <w:rPr>
          <w:rFonts w:ascii="Amiri" w:hAnsi="Amiri" w:eastAsia="Amiri" w:cs="Amiri"/>
          <w:color w:val="111111"/>
          <w:sz w:val="28"/>
          <w:sz w:val="28"/>
          <w:szCs w:val="28"/>
          <w:rtl w:val="true"/>
          <w:lang w:bidi="ar-SA"/>
        </w:rPr>
        <w:t xml:space="preserve">قال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ذلک انّ اللّه تعالی فطر جمیع الخلق علی التوحید ،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یُعَرِّفَهُمْ مَا یُرْضِیهِ وَ مَا یُسْخِطُهُ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لَهَا مَا تَأْتِی وَ مَا تَتْرُکُ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 إِمَّا آخِذاً وَ إِمَّا تَارِکاً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فَاسْتَحَبُّوا اَلْعَمیٰ عَلَی اَلْهُدیٰ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یَعْرِفُونَ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اَلْخَیْرِ وَ نَجْدَ اَلشَّرِّ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عَلَی اَلنَّاسِ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7" w:name="pg20035_204865"/>
    </w:p>
    <w:p>
      <w:pPr>
        <w:pStyle w:val="Heading2"/>
        <w:numPr>
          <w:ilvl w:val="1"/>
          <w:numId w:val="1"/>
        </w:numPr>
        <w:rPr/>
      </w:pPr>
      <w:bookmarkStart w:id="38" w:name="__RefHeading___Toc709732_373438147"/>
      <w:bookmarkStart w:id="39" w:name="_Toc12"/>
      <w:bookmarkEnd w:id="37"/>
      <w:bookmarkEnd w:id="38"/>
      <w:r>
        <w:rPr>
          <w:rtl w:val="true"/>
        </w:rPr>
        <w:t>[</w:t>
      </w:r>
      <w:r>
        <w:rPr/>
        <w:t>9</w:t>
      </w:r>
      <w:r>
        <w:rPr>
          <w:rtl w:val="true"/>
        </w:rPr>
        <w:t>]</w:t>
      </w:r>
      <w:r>
        <w:rPr>
          <w:rtl w:val="true"/>
        </w:rPr>
        <w:t>باب الاعتقاد فی الاستطاعة</w:t>
      </w:r>
      <w:bookmarkEnd w:id="39"/>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یَکُونُ اَلْعَبْدُ مُسْتَطِیعاً؟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بَعْدَ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مُخَلَّی اَلسَّرْبِ </w:t>
      </w:r>
      <w:r>
        <w:rPr>
          <w:rStyle w:val="FootnoteAnchor"/>
          <w:rtl w:val="true"/>
        </w:rPr>
        <w:footnoteReference w:id="89"/>
      </w:r>
      <w:r>
        <w:rPr>
          <w:rFonts w:ascii="Amiri" w:hAnsi="Amiri" w:eastAsia="Amiri" w:cs="Amiri"/>
          <w:color w:val="111111"/>
          <w:sz w:val="28"/>
          <w:sz w:val="28"/>
          <w:szCs w:val="28"/>
          <w:rtl w:val="true"/>
          <w:lang w:bidi="ar-SA"/>
        </w:rPr>
        <w:t>، صَحِیحَ اَلْجِسْمِ، سَلِیمَ اَلْجَوَارِحِ، لَهُ سَبَبٌ وَارِدٌ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هَذِهِ فَهُوَ مُسْتَطِیعٌ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أَیِّ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اَلرَّجُلُ مُخَلَّی اَلسَّرْبِ صَحِیحَ اَلْجِسْمِ سَلِیمَ اَلْجَوَارِحِ لاَ یَقْدِرُ أَنْ یَزْنِیَ إِلاَّ أَنْ یَرَی اِمْرَأَةً، فَإِذَا وَجَدَ اَلْمَرْأَةَ فَإِمَّا أَنْ یَعْصِمَ فَیَمْتَنِعَ کَمَا اِمْتَنَعَ یُوسُفُ ، وَ إِمَّا أَنْ یُخَلِّیَ بَیْنَهُ وَ بَیْنَهَا فَیَزْنِیَ فَهُوَ زَانٍ، وَ لَمْ یُطِعِ اَللَّهَ بِإِکْرَاهٍ، وَ لَمْ یَعْصِ بِغَلَبَةٍ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کٰانُوا یُدْعَوْنَ إِلَی اَلسُّجُودِ وَ هُمْ سٰالِمُونَ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مُسْتَطِیعُونَ یَسْتَطِیعُونَ اَلْأَخْذَ بِمَا أُمِرُوا بِهِ، </w:t>
      </w:r>
    </w:p>
    <w:p>
      <w:pPr>
        <w:pStyle w:val="BookText"/>
        <w:rPr/>
      </w:pPr>
      <w:r>
        <w:rPr>
          <w:rFonts w:ascii="Amiri" w:hAnsi="Amiri" w:eastAsia="Amiri" w:cs="Amiri"/>
          <w:color w:val="111111"/>
          <w:sz w:val="28"/>
          <w:sz w:val="28"/>
          <w:szCs w:val="28"/>
          <w:rtl w:val="true"/>
          <w:lang w:bidi="ar-SA"/>
        </w:rPr>
        <w:t>وَ اَلتَّرْکَ لِمَا نُهُوا عَنْهُ، وَ بِذَلِکَ اُبْتُلُوا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اَلتَّوْرَاةِ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إِنِّی خَلَقْتُکَ وَ اِصْطَفَیْتُکَ وَ قَوَّیْتُکَ، وَ أَمَرْتُکَ بِطَاعَتِی، وَ نَهَیْتُکَ عَنْ مَعْصِیَتِی، فَإِنْ أَطَعْتَنِی أَعَنْتُکَ عَلَی طَاعَتِی، وَ إِنْ عَصَیْتَنِی لَمْ أُعِنْکَ عَلَی مَعْصِیَتِی، وَ لِیَ اَلْمِنَّةُ عَلَیْکَ فِی طَاعَتِکَ لِی، وَ لِیَ اَلْحُجَّةُ عَلَیْکَ فِی مَعْصِیَتِکَ لِی</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40" w:name="pg20035_204867"/>
    </w:p>
    <w:p>
      <w:pPr>
        <w:pStyle w:val="Heading2"/>
        <w:numPr>
          <w:ilvl w:val="1"/>
          <w:numId w:val="1"/>
        </w:numPr>
        <w:rPr/>
      </w:pPr>
      <w:bookmarkStart w:id="41" w:name="__RefHeading___Toc709734_373438147"/>
      <w:bookmarkStart w:id="42" w:name="_Toc13"/>
      <w:bookmarkEnd w:id="40"/>
      <w:bookmarkEnd w:id="41"/>
      <w:r>
        <w:rPr>
          <w:rtl w:val="true"/>
        </w:rPr>
        <w:t>[</w:t>
      </w:r>
      <w:r>
        <w:rPr/>
        <w:t>10</w:t>
      </w:r>
      <w:r>
        <w:rPr>
          <w:rtl w:val="true"/>
        </w:rPr>
        <w:t>]</w:t>
      </w:r>
      <w:r>
        <w:rPr>
          <w:rtl w:val="true"/>
        </w:rPr>
        <w:t>باب الاعتقاد فی البداء</w:t>
      </w:r>
      <w:bookmarkEnd w:id="42"/>
    </w:p>
    <w:p>
      <w:pPr>
        <w:pStyle w:val="BookText"/>
        <w:rPr/>
      </w:pPr>
      <w:r>
        <w:rPr>
          <w:rFonts w:ascii="Amiri" w:hAnsi="Amiri" w:eastAsia="Amiri" w:cs="Amiri"/>
          <w:color w:val="111111"/>
          <w:sz w:val="28"/>
          <w:sz w:val="28"/>
          <w:szCs w:val="28"/>
          <w:rtl w:val="true"/>
          <w:lang w:bidi="ar-SA"/>
        </w:rPr>
        <w:t xml:space="preserve">قال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قالوا انّ اللّه 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تعالی کُلَّ یَوْمٍ هُوَ فِی شَأْنٍ ، لا یشغله شأن عن شأن، یُحْیِی وَ یُمِیتُ </w:t>
      </w:r>
      <w:r>
        <w:rPr>
          <w:rStyle w:val="FootnoteAnchor"/>
          <w:rtl w:val="true"/>
        </w:rPr>
        <w:footnoteReference w:id="93"/>
      </w:r>
      <w:r>
        <w:rPr>
          <w:rFonts w:ascii="Amiri" w:hAnsi="Amiri" w:eastAsia="Amiri" w:cs="Amiri"/>
          <w:color w:val="111111"/>
          <w:sz w:val="28"/>
          <w:sz w:val="28"/>
          <w:szCs w:val="28"/>
          <w:rtl w:val="true"/>
          <w:lang w:bidi="ar-SA"/>
        </w:rPr>
        <w:t xml:space="preserve">، و یخلق و یرزق، و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 و انّه لا یمحوا إلاّ ما کان، و لا یثبت إلاّ 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لیس ببداء، کما قالت الیهود و اتباعهم </w:t>
      </w:r>
      <w:r>
        <w:rPr>
          <w:rStyle w:val="FootnoteAnchor"/>
          <w:rtl w:val="true"/>
        </w:rPr>
        <w:footnoteReference w:id="94"/>
      </w:r>
      <w:r>
        <w:rPr>
          <w:rFonts w:ascii="IRNazanin" w:hAnsi="IRNazanin" w:eastAsia="IRNazanin"/>
          <w:color w:val="111111"/>
          <w:sz w:val="28"/>
          <w:sz w:val="28"/>
          <w:szCs w:val="28"/>
          <w:rtl w:val="true"/>
          <w:lang w:bidi="fa-IR"/>
        </w:rPr>
        <w:t xml:space="preserve">فنسبتنا الیهود فی ذلک إلی القول بالبداء، و تابعهم علی ذلک من خالفنا من أهل الأهواء المختلفة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قَطُّ حَتَّی یَأْخُذَ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اَلْإِقْرَارَ بِالْعُبُودِیَّةِ، وَ خَلْعِ اَلْأَنْدَادِ، وَ إِنَّ اَللَّهَ تَعَالَی یُؤَخِّرُ مَا یَشَاءُ وَ یُقَدِّمُ مَا یَشَاءُ</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نسخ الشرایع و الأحکام بشریعة نبیّنا محمد 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و سلّم من ذلک، و نسخ الکتب بالقرآن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 اَللَّهَ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شَیْءٍ اَلْیَوْمَ لَمْ یَعْلَمْهُ أَمْسِ فَابْرَءُوا مِنْهُ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تَعَالَی بَدَا لَهُ فِی شَیْءٍ بَدَاءَ نَدَامَةٍ، فَهُوَ عِنْدَنَا کَافِرٌ بِاللَّهِ اَلْعَظِیمِ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بَدَا لِلَّهِ فِی شَیْءٍ کَمَا بَدَا لَهُ فِی اِبْنِی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للّه سبحانه أمر فی شیء کما ظهر له فی ابنی إسماعیل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اخترمه قبلی، لیعلم أنّه لیس بإمام بعدی</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3" w:name="pg20035_204869"/>
    </w:p>
    <w:p>
      <w:pPr>
        <w:pStyle w:val="Heading2"/>
        <w:numPr>
          <w:ilvl w:val="1"/>
          <w:numId w:val="1"/>
        </w:numPr>
        <w:rPr/>
      </w:pPr>
      <w:bookmarkStart w:id="44" w:name="__RefHeading___Toc709736_373438147"/>
      <w:bookmarkStart w:id="45" w:name="_Toc14"/>
      <w:bookmarkEnd w:id="43"/>
      <w:bookmarkEnd w:id="44"/>
      <w:r>
        <w:rPr>
          <w:rtl w:val="true"/>
        </w:rPr>
        <w:t>[</w:t>
      </w:r>
      <w:r>
        <w:rPr/>
        <w:t>11</w:t>
      </w:r>
      <w:r>
        <w:rPr>
          <w:rtl w:val="true"/>
        </w:rPr>
        <w:t>]</w:t>
      </w:r>
      <w:r>
        <w:rPr>
          <w:rtl w:val="true"/>
        </w:rPr>
        <w:t>باب الاعتقاد فی التناهی عن الجدل و المراء فی اللّه عزّ و جلّ و فی دینه</w:t>
      </w:r>
      <w:bookmarkEnd w:id="45"/>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الجدل فی اللّه تعالی منهی عنه، لأنّه یؤدّی إلی ما لا یلیق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اِنْتَهَی اَلْکَلاَمُ إِلَی اَللَّهِ تَعَالَی فَأَمْسِکُوا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آدَمَ، لَوْ أَکَلَ قَلْبَکَ طَائِرٌ مَا أَشْبَعَهُ، وَ بَصَرُکَ لَوْ وُضِعَ عَلَیْهِ خَرْقُ إِبْرَةٍ لَغَطَّاهُ، تُرِیدُ أَنْ تَعْرِفَ بِهِمَا مَلَکُوتَ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فَهَذِهِ اَلشَّمْسُ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إِنْ قَدَرْتَ أَنْ تَمْلَأَ عَیْنَکَ مِنْهَا فَهُوَ کَمَا تَقُولُ</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الجدل فی جمیع </w:t>
      </w:r>
      <w:r>
        <w:rPr>
          <w:rStyle w:val="FootnoteAnchor"/>
          <w:rtl w:val="true"/>
        </w:rPr>
        <w:footnoteReference w:id="101"/>
      </w:r>
      <w:r>
        <w:rPr>
          <w:rFonts w:ascii="IRNazanin" w:hAnsi="IRNazanin" w:eastAsia="IRNazanin"/>
          <w:color w:val="111111"/>
          <w:sz w:val="28"/>
          <w:sz w:val="28"/>
          <w:szCs w:val="28"/>
          <w:rtl w:val="true"/>
          <w:lang w:bidi="fa-IR"/>
        </w:rPr>
        <w:t>امور الدین منهی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اَلدِّینَ بِالْجَدَلِ تَزَنْدَقَ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یَهْلِکُ أَصْحَابُ اَلْکَلاَمِ وَ یَنْجُو اَلْمُسْلِمُونَ ، إِنَّ اَلْمُسْلِمِینَ هُمُ اَلنُّجَبَاءُ</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الاحتجاج علی المخالفین </w:t>
      </w:r>
      <w:r>
        <w:rPr>
          <w:rStyle w:val="FootnoteAnchor"/>
          <w:rtl w:val="true"/>
        </w:rPr>
        <w:footnoteReference w:id="103"/>
      </w:r>
      <w:r>
        <w:rPr>
          <w:rFonts w:ascii="IRNazanin" w:hAnsi="IRNazanin" w:eastAsia="IRNazanin"/>
          <w:color w:val="111111"/>
          <w:sz w:val="28"/>
          <w:sz w:val="28"/>
          <w:szCs w:val="28"/>
          <w:rtl w:val="true"/>
          <w:lang w:bidi="fa-IR"/>
        </w:rPr>
        <w:t>بقول الأئمّة أو بمعانی کلامهم لمن یحسن الکلام فمطلق، و علی من لا یحسن فمحظور 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حَاجُّوا اَلنَّاسَ بِکَلاَمِی، فَإِنْ حَاجُّوکُمْ کُنْتُ أَنَا اَلْمَحْجُوجَ لاَ 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کَلاَمٌ فِی حَقٍّ خَیْرٌ مِنْ سُکُوتٍ عَلَی بَاطِلٍ</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أَبَا هُذَیْلٍ اَلْعَلاَّفَ قَالَ لِهِشَامِ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أُنَاظِرُکَ عَلَی أَنَّکَ إِنْ غَلَبْتَنِی رَجَعْتُ إِلَی مَذْهَبِکَ، وَ إِنْ غَلَبْتُکَ رَجَعْتَ إِلَی مَذْهَبِی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أُنَاظِرُکَ عَلَی أَنِّی إِنْ غَلَبْتُکَ رَجَعْتَ إِلَی مَذْهَبِی، وَ إِنْ غَلَبْتَنِی رَجَعْتُ إِلَی إِمَامِی</w:t>
      </w:r>
      <w:r>
        <w:rPr>
          <w:rFonts w:eastAsia="Amiri" w:cs="Amiri" w:ascii="Amiri" w:hAnsi="Amiri"/>
          <w:color w:val="111111"/>
          <w:sz w:val="28"/>
          <w:szCs w:val="28"/>
          <w:rtl w:val="true"/>
          <w:lang w:bidi="ar-SA"/>
        </w:rPr>
        <w:t xml:space="preserve">. </w:t>
      </w:r>
      <w:bookmarkStart w:id="46" w:name="pg20035_204871"/>
    </w:p>
    <w:p>
      <w:pPr>
        <w:pStyle w:val="Heading2"/>
        <w:numPr>
          <w:ilvl w:val="1"/>
          <w:numId w:val="1"/>
        </w:numPr>
        <w:rPr/>
      </w:pPr>
      <w:bookmarkStart w:id="47" w:name="__RefHeading___Toc709738_373438147"/>
      <w:bookmarkStart w:id="48" w:name="_Toc15"/>
      <w:bookmarkEnd w:id="46"/>
      <w:bookmarkEnd w:id="47"/>
      <w:r>
        <w:rPr>
          <w:rtl w:val="true"/>
        </w:rPr>
        <w:t>[</w:t>
      </w:r>
      <w:r>
        <w:rPr/>
        <w:t>12</w:t>
      </w:r>
      <w:r>
        <w:rPr>
          <w:rtl w:val="true"/>
        </w:rPr>
        <w:t>]</w:t>
      </w:r>
      <w:r>
        <w:rPr>
          <w:rtl w:val="true"/>
        </w:rPr>
        <w:t>باب الاعتقاد فی اللوح و القلم</w:t>
      </w:r>
      <w:bookmarkEnd w:id="48"/>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اللوح و القلم أنّهما ملکان </w:t>
      </w:r>
      <w:r>
        <w:rPr>
          <w:rFonts w:eastAsia="IRNazanin" w:cs="IRNazanin"/>
          <w:color w:val="111111"/>
          <w:sz w:val="28"/>
          <w:szCs w:val="28"/>
          <w:rtl w:val="true"/>
          <w:lang w:bidi="fa-IR"/>
        </w:rPr>
        <w:t>.</w:t>
      </w:r>
    </w:p>
    <w:p>
      <w:pPr>
        <w:pStyle w:val="Heading2"/>
        <w:numPr>
          <w:ilvl w:val="1"/>
          <w:numId w:val="1"/>
        </w:numPr>
        <w:rPr/>
      </w:pPr>
      <w:bookmarkStart w:id="49" w:name="__RefHeading___Toc709740_373438147"/>
      <w:bookmarkStart w:id="50" w:name="_Toc16"/>
      <w:bookmarkEnd w:id="49"/>
      <w:r>
        <w:rPr>
          <w:rtl w:val="true"/>
        </w:rPr>
        <w:t>[</w:t>
      </w:r>
      <w:r>
        <w:rPr/>
        <w:t>13</w:t>
      </w:r>
      <w:r>
        <w:rPr>
          <w:rtl w:val="true"/>
        </w:rPr>
        <w:t>]</w:t>
      </w:r>
      <w:r>
        <w:rPr>
          <w:rtl w:val="true"/>
        </w:rPr>
        <w:t xml:space="preserve">باب الاعتقاد فی الکرسی </w:t>
      </w:r>
      <w:r>
        <w:rPr>
          <w:rtl w:val="true"/>
        </w:rPr>
        <w:t>.</w:t>
      </w:r>
      <w:bookmarkEnd w:id="50"/>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الکرسی أنّه وعاء جمیع الخلق من </w:t>
      </w:r>
      <w:r>
        <w:rPr>
          <w:rStyle w:val="FootnoteAnchor"/>
          <w:rtl w:val="true"/>
        </w:rPr>
        <w:footnoteReference w:id="104"/>
      </w:r>
      <w:r>
        <w:rPr>
          <w:rFonts w:ascii="IRNazanin" w:hAnsi="IRNazanin" w:eastAsia="IRNazanin"/>
          <w:color w:val="111111"/>
          <w:sz w:val="28"/>
          <w:sz w:val="28"/>
          <w:szCs w:val="28"/>
          <w:rtl w:val="true"/>
          <w:lang w:bidi="fa-IR"/>
        </w:rPr>
        <w:t>العرش و السموات و الأرض، و کل شیء خلق اللّه تعالی فی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وجه آخر </w:t>
      </w:r>
      <w:r>
        <w:rPr>
          <w:rStyle w:val="FootnoteAnchor"/>
          <w:rtl w:val="true"/>
        </w:rPr>
        <w:footnoteReference w:id="105"/>
      </w:r>
      <w:r>
        <w:rPr>
          <w:rFonts w:ascii="IRNazanin" w:hAnsi="IRNazanin" w:eastAsia="IRNazanin"/>
          <w:color w:val="111111"/>
          <w:sz w:val="28"/>
          <w:sz w:val="28"/>
          <w:szCs w:val="28"/>
          <w:rtl w:val="true"/>
          <w:lang w:bidi="fa-IR"/>
        </w:rPr>
        <w:t>هو العلم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1" w:name="pg20035_204872"/>
    </w:p>
    <w:p>
      <w:pPr>
        <w:pStyle w:val="Heading2"/>
        <w:numPr>
          <w:ilvl w:val="1"/>
          <w:numId w:val="1"/>
        </w:numPr>
        <w:rPr/>
      </w:pPr>
      <w:bookmarkStart w:id="52" w:name="__RefHeading___Toc709742_373438147"/>
      <w:bookmarkStart w:id="53" w:name="_Toc17"/>
      <w:bookmarkEnd w:id="51"/>
      <w:bookmarkEnd w:id="52"/>
      <w:r>
        <w:rPr>
          <w:rtl w:val="true"/>
        </w:rPr>
        <w:t>[</w:t>
      </w:r>
      <w:r>
        <w:rPr/>
        <w:t>14</w:t>
      </w:r>
      <w:r>
        <w:rPr>
          <w:rtl w:val="true"/>
        </w:rPr>
        <w:t>]</w:t>
      </w:r>
      <w:r>
        <w:rPr>
          <w:rtl w:val="true"/>
        </w:rPr>
        <w:t>باب الاعتقاد فی العرش</w:t>
      </w:r>
      <w:bookmarkEnd w:id="53"/>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العرش أنّه جملة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العرش فی وجه آخر هو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مِنْ کُلِّ شَیْءٍ، فَلَیْسَ شَیْءٌ، أَقْرَبَ إِلَیْهِ مِنْ شَیْءٍ</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العرش الذی هو جملة جمیع الخلق فحملته ثمانیة من الملائکة، لکل واحد منهم ثمانیة أعین، کل عین طباق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علی صورة بنی آدم، فهو یسترزق اللّه تعالی لولد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w:t>
      </w:r>
      <w:r>
        <w:rPr>
          <w:rStyle w:val="FootnoteAnchor"/>
          <w:rtl w:val="true"/>
        </w:rPr>
        <w:footnoteReference w:id="108"/>
      </w:r>
      <w:r>
        <w:rPr>
          <w:rFonts w:ascii="IRNazanin" w:hAnsi="IRNazanin" w:eastAsia="IRNazanin"/>
          <w:color w:val="111111"/>
          <w:sz w:val="28"/>
          <w:sz w:val="28"/>
          <w:szCs w:val="28"/>
          <w:rtl w:val="true"/>
          <w:lang w:bidi="fa-IR"/>
        </w:rPr>
        <w:t>علی صورة الثور، یسترزق اللّه للبهائم کلّها، و واحد منهم علی صورة الأسد، یسترزق اللّه تعالی للسباع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منهم علی صورة الدیک، فهو یسترزق اللّه للطیور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الیوم هؤلاء الأربعة، فاذا کان یوم القیامة صاروا ثمانیة</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اَلْعَرْشُ اَلَّذِی هُوَ اَلْعِلْمُ، فَحَمَلَتُهُ أَرْبَعَةٌ مِنَ اَلْأَوَّلِینَ، وَ أَرْبَعَةٌ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اَلْأَرْبَعَةُ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فَنُوحٌ ، وَ إِبْرَاهِیمُ ، وَ مُوسَی ، 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اَلْأَرْبَعَةُ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 وَ عَلِیٌّ ، وَ اَلْحَسَنُ ، وَ اَلْحُسَیْنُ ، صَلَّی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بِالْأَسَانِیدِ اَلصَّحِیحَةِ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اَلْعَرْشِ وَ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هؤلاء حملة العرش الذی هو العلم </w:t>
      </w:r>
      <w:r>
        <w:rPr>
          <w:rStyle w:val="FootnoteAnchor"/>
          <w:rtl w:val="true"/>
        </w:rPr>
        <w:footnoteReference w:id="109"/>
      </w:r>
      <w:r>
        <w:rPr>
          <w:rFonts w:ascii="IRNazanin" w:hAnsi="IRNazanin" w:eastAsia="IRNazanin"/>
          <w:color w:val="111111"/>
          <w:sz w:val="28"/>
          <w:sz w:val="28"/>
          <w:szCs w:val="28"/>
          <w:rtl w:val="true"/>
          <w:lang w:bidi="fa-IR"/>
        </w:rPr>
        <w:t>لأنّ الأنبیاء الذین کانوا قبل نبیّنا 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آله و سلّم کانوا علی شرائع الأربعة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إبراهیم و موسی و عیسی ، و من قبل هؤلاء </w:t>
      </w:r>
      <w:r>
        <w:rPr>
          <w:rStyle w:val="FootnoteAnchor"/>
          <w:rtl w:val="true"/>
        </w:rPr>
        <w:footnoteReference w:id="111"/>
      </w:r>
      <w:r>
        <w:rPr>
          <w:rFonts w:ascii="IRNazanin" w:hAnsi="IRNazanin" w:eastAsia="IRNazanin"/>
          <w:color w:val="111111"/>
          <w:sz w:val="28"/>
          <w:sz w:val="28"/>
          <w:szCs w:val="28"/>
          <w:rtl w:val="true"/>
          <w:lang w:bidi="fa-IR"/>
        </w:rPr>
        <w:t xml:space="preserve">صارت العلوم إلیهم، و کذلک صار العلم من بعد محمد و علی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من بعد الحسین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4" w:name="pg20035_204874"/>
    </w:p>
    <w:p>
      <w:pPr>
        <w:pStyle w:val="Heading2"/>
        <w:numPr>
          <w:ilvl w:val="1"/>
          <w:numId w:val="1"/>
        </w:numPr>
        <w:rPr/>
      </w:pPr>
      <w:bookmarkStart w:id="55" w:name="__RefHeading___Toc709744_373438147"/>
      <w:bookmarkStart w:id="56" w:name="_Toc18"/>
      <w:bookmarkEnd w:id="54"/>
      <w:bookmarkEnd w:id="55"/>
      <w:r>
        <w:rPr>
          <w:rtl w:val="true"/>
        </w:rPr>
        <w:t>[</w:t>
      </w:r>
      <w:r>
        <w:rPr/>
        <w:t>15</w:t>
      </w:r>
      <w:r>
        <w:rPr>
          <w:rtl w:val="true"/>
        </w:rPr>
        <w:t>]</w:t>
      </w:r>
      <w:r>
        <w:rPr>
          <w:rtl w:val="true"/>
        </w:rPr>
        <w:t>باب الاعتقاد فی النفوس و الأرواح</w:t>
      </w:r>
      <w:bookmarkEnd w:id="56"/>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النفوس أنّها هی الأرواح التی بها الحیاة، و انّها الخلق الأوّل،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اَلنَّبِیِّ صَلَّی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أَبْدَعَ اَللَّهُ سُبْحَانَهُ وَ تَعَالَی هِیَ اَلنُّفُوسُ اَلْمُقَدَّسَةُ اَلْمُطَهَّرَةُ </w:t>
      </w:r>
      <w:r>
        <w:rPr>
          <w:rStyle w:val="FootnoteAnchor"/>
          <w:rtl w:val="true"/>
        </w:rPr>
        <w:footnoteReference w:id="112"/>
      </w:r>
      <w:r>
        <w:rPr>
          <w:rFonts w:ascii="Amiri" w:hAnsi="Amiri" w:eastAsia="Amiri" w:cs="Amiri"/>
          <w:color w:val="111111"/>
          <w:sz w:val="28"/>
          <w:sz w:val="28"/>
          <w:szCs w:val="28"/>
          <w:rtl w:val="true"/>
          <w:lang w:bidi="ar-SA"/>
        </w:rPr>
        <w:t>، فَأَنْطَقَهَا بِتَوْحِیدِهِ، ثُمَّ خَلَقَ بَعْدَ ذَلِکَ سَائِرَ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اعتقادنا فیها أنّها خلقت للبقاء و لم تخلق للفناء،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اَلنَّبِیِّ صَلَّی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خُلِقْتُمْ لِلْفَنَاءِ بَلْ خُلِقْتُمْ لِلْبَقَاءِ، وَ إِنَّمَا تُنْقَلُونَ مِنْ دَارٍ إِلَی 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أنّها فی الأرض غریبة، و فی الأبدان مسجونة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فیها أنّها إذا فارقت الأبدان فهی باقیة، منها منعّمة، و منها معذّبة، إلی أن یردها اللّه تعالی بقدرته إلی أبدانها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عِیسَی بْنُ مَرْیَمَ لِلْحَوَارِیِّینَ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أَقُولُ لَکُمْ، إنَّهُ لاَ یَصْعَدُ إِلَی اَلسَّمَاءِ إِلاَّ مَا نَزَلَ مِنْهَا</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w:t>
      </w:r>
      <w:r>
        <w:rPr>
          <w:rStyle w:val="FootnoteAnchor"/>
          <w:rtl w:val="true"/>
        </w:rPr>
        <w:footnoteReference w:id="113"/>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لم یرفع منها إلی الملکوت بقی یهوی فی الهاویة ، و ذلک لأنّ الجنّة درجات و النّار درکات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فِی مَقْعَدِ صِدْقٍ عِنْدَ مَلِیکٍ مُقْتَدِرٍ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فَمَا تَعَارَفَ مِنْهَا اِئْتَلَفَ، وَ مَا تَنَاکَرَ مِنْهَا اِخْتَلَفَ</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آخَی بَیْنَ اَلْأَرْوَاحِ فِی اَلْأَظِلَّةِ قَبْلَ أَنْ یَخْلُقَ اَلْأَبْدَانَ بِأَلْفَیْ عَامٍ، فَلَوْ قَدْ قَامَ قَائِمُنَا أَهْلَ اَلْبَیْتِ لَوَرِثَ اَلْأَخُ اَلَّذِی آخَی بَیْنَهُمَا فِی اَلْأَظِلَّةِ، وَ لَمْ یَرِثِ </w:t>
      </w:r>
      <w:r>
        <w:rPr>
          <w:rStyle w:val="FootnoteAnchor"/>
          <w:rtl w:val="true"/>
        </w:rPr>
        <w:footnoteReference w:id="119"/>
      </w:r>
      <w:r>
        <w:rPr>
          <w:rFonts w:ascii="Amiri" w:hAnsi="Amiri" w:eastAsia="Amiri" w:cs="Amiri"/>
          <w:color w:val="111111"/>
          <w:sz w:val="28"/>
          <w:sz w:val="28"/>
          <w:szCs w:val="28"/>
          <w:rtl w:val="true"/>
          <w:lang w:bidi="ar-SA"/>
        </w:rPr>
        <w:t>اَلْأَخُ مِنَ اَلْوَلاَدَةِ</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اَلْأَرْوَاحَ لَتَلْتَقِی فِی اَلْهَوَاءِ فَتَعَارَفَ فَتَسَاءَلَ، فَإِذَا أَقْبَلَ </w:t>
      </w:r>
    </w:p>
    <w:p>
      <w:pPr>
        <w:pStyle w:val="BookText"/>
        <w:rPr/>
      </w:pPr>
      <w:r>
        <w:rPr>
          <w:rFonts w:ascii="Amiri" w:hAnsi="Amiri" w:eastAsia="Amiri" w:cs="Amiri"/>
          <w:color w:val="111111"/>
          <w:sz w:val="28"/>
          <w:sz w:val="28"/>
          <w:szCs w:val="28"/>
          <w:rtl w:val="true"/>
          <w:lang w:bidi="ar-SA"/>
        </w:rPr>
        <w:t>رُوحٌ مِنَ اَلْأَرْضِ قَالَتِ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Style w:val="FootnoteAnchor"/>
          <w:rtl w:val="true"/>
        </w:rPr>
        <w:footnoteReference w:id="120"/>
      </w:r>
      <w:r>
        <w:rPr>
          <w:rFonts w:ascii="Amiri" w:hAnsi="Amiri" w:eastAsia="Amiri" w:cs="Amiri"/>
          <w:color w:val="111111"/>
          <w:sz w:val="28"/>
          <w:sz w:val="28"/>
          <w:szCs w:val="28"/>
          <w:rtl w:val="true"/>
          <w:lang w:bidi="ar-SA"/>
        </w:rPr>
        <w:t>فَقَدْ أَفْلَتَ مِنْ هَوْلٍ عَظِیمٍ، ثُمَّ سَأَلُوهُ مَا فَعَلَ فُلاَنٌ وَ مَا فَعَلَ فُلاَنٌ، فَکُلَّمَا قَالَ قَدْ بَقِیَ رَجَوْهُ أَنْ یَلْحَقَ بِهِمْ، وَ کُلَّمَا قَالَ قَدْ مَاتَ قَالُوا هَوَی هَوَی</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فَأُمُّهُ هٰاوِیَةٌ وَ مٰا أَدْرٰاکَ مٰا هِیَهْ نٰارٌ حٰامِیَةٌ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الدنیا و صاحبها </w:t>
      </w:r>
      <w:r>
        <w:rPr>
          <w:rStyle w:val="FootnoteAnchor"/>
          <w:rtl w:val="true"/>
        </w:rPr>
        <w:footnoteReference w:id="124"/>
      </w:r>
      <w:r>
        <w:rPr>
          <w:rFonts w:ascii="IRNazanin" w:hAnsi="IRNazanin" w:eastAsia="IRNazanin"/>
          <w:color w:val="111111"/>
          <w:sz w:val="28"/>
          <w:sz w:val="28"/>
          <w:szCs w:val="28"/>
          <w:rtl w:val="true"/>
          <w:lang w:bidi="fa-IR"/>
        </w:rPr>
        <w:t>کمثل البحر و الملاح و السفینة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 اَلدُّنْیَا بَحْرٌ عَمِیقٌ وَ قَدْ هَلَکَ فِیهَا عَالَمٌ کَثِیرٌ، فَاجْعَلْ سَفِینَتَکَ فِیهَا اَلْإِیمَانَ بِاللَّهِ، وَ اِجْعَلْ زَادَکَ فِیهَا تَقْوَی اَللَّهِ، وَ اِجْعَلْ شِرَاعَهَا اَلتَّوَکُّلَ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نَجَوْتَ فَبِرَحْمَةِ اَللَّهِ، وَ إِنْ هَلَکْتَ فَبِذُنُوبِکَ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ساعات ابن آدم ثلاث ساعات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و یوم یموت، و 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سلّم اللّه تعالی علی یحیی فی هذه الساعات،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سلّم فیها </w:t>
      </w:r>
      <w:r>
        <w:rPr>
          <w:rStyle w:val="FootnoteAnchor"/>
          <w:rtl w:val="true"/>
        </w:rPr>
        <w:footnoteReference w:id="128"/>
      </w:r>
      <w:r>
        <w:rPr>
          <w:rFonts w:ascii="Amiri" w:hAnsi="Amiri" w:eastAsia="Amiri" w:cs="Amiri"/>
          <w:color w:val="111111"/>
          <w:sz w:val="28"/>
          <w:sz w:val="28"/>
          <w:szCs w:val="28"/>
          <w:rtl w:val="true"/>
          <w:lang w:bidi="ar-SA"/>
        </w:rPr>
        <w:t>عیسی علی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فی الروح أنّه لیس من جنس البدن، و أنّه خلق آخر،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فَتَبٰارَکَ اَللّٰهُ أَحْسَنُ اَلْخٰالِقِینَ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اعتقادنا فی الأنبیاء و الرسل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الایمان، و روح القوّة، و روح الشهوة، و روح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المؤمنین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الایمان، و روح القوّة، و روح الشهوة، و روح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الکافرین و البهائم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 روح الشهوة، و روح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Style w:val="FootnoteAnchor"/>
          <w:rtl w:val="true"/>
        </w:rPr>
        <w:footnoteReference w:id="131"/>
      </w:r>
      <w:r>
        <w:rPr>
          <w:rFonts w:ascii="IRNazanin" w:hAnsi="IRNazanin" w:eastAsia="IRNazanin"/>
          <w:color w:val="111111"/>
          <w:sz w:val="28"/>
          <w:sz w:val="28"/>
          <w:szCs w:val="28"/>
          <w:rtl w:val="true"/>
          <w:lang w:bidi="fa-IR"/>
        </w:rPr>
        <w:t xml:space="preserve">فإنّه خلق أعظم من جبرئیل و میکائیل ، کان مع رسول اللّه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مع الملائکة، و هو من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اصنّف فی هذا المعنی کتابا أشرح فیه معانی هذه الجمل إن شاء اللّه تعالی</w:t>
      </w:r>
      <w:r>
        <w:rPr>
          <w:rFonts w:eastAsia="IRNazanin" w:cs="IRNazanin"/>
          <w:color w:val="111111"/>
          <w:sz w:val="28"/>
          <w:szCs w:val="28"/>
          <w:rtl w:val="true"/>
          <w:lang w:bidi="fa-IR"/>
        </w:rPr>
        <w:t xml:space="preserve">. </w:t>
      </w:r>
      <w:bookmarkStart w:id="57" w:name="pg20035_204878"/>
    </w:p>
    <w:p>
      <w:pPr>
        <w:pStyle w:val="Heading2"/>
        <w:numPr>
          <w:ilvl w:val="1"/>
          <w:numId w:val="1"/>
        </w:numPr>
        <w:rPr/>
      </w:pPr>
      <w:bookmarkStart w:id="58" w:name="__RefHeading___Toc709746_373438147"/>
      <w:bookmarkStart w:id="59" w:name="_Toc19"/>
      <w:bookmarkEnd w:id="57"/>
      <w:bookmarkEnd w:id="58"/>
      <w:r>
        <w:rPr>
          <w:rtl w:val="true"/>
        </w:rPr>
        <w:t>[</w:t>
      </w:r>
      <w:r>
        <w:rPr/>
        <w:t>16</w:t>
      </w:r>
      <w:r>
        <w:rPr>
          <w:rtl w:val="true"/>
        </w:rPr>
        <w:t>]</w:t>
      </w:r>
      <w:r>
        <w:rPr>
          <w:rtl w:val="true"/>
        </w:rPr>
        <w:t>باب الاعتقاد فی الموت</w:t>
      </w:r>
      <w:bookmarkEnd w:id="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 عَلَیْهِ اَلسَّلاَمُ صِفْ لَنَا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اَلْخَبِیرِ سَقَطْتُمْ، هُوَ أَحَدُ ثَلاَثَةِ أُمُورٍ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بِشَارَةٌ بِنَعِیمِ اَلْأَبَدِ، وَ إِمَّا بِشَارَةٌ بِعَذَابِ اَلْأَبَدِ، وَ إِمَّا بِتَحْزِینٍ </w:t>
      </w:r>
      <w:r>
        <w:rPr>
          <w:rStyle w:val="FootnoteAnchor"/>
          <w:rtl w:val="true"/>
        </w:rPr>
        <w:footnoteReference w:id="133"/>
      </w:r>
      <w:r>
        <w:rPr>
          <w:rFonts w:ascii="Amiri" w:hAnsi="Amiri" w:eastAsia="Amiri" w:cs="Amiri"/>
          <w:color w:val="111111"/>
          <w:sz w:val="28"/>
          <w:sz w:val="28"/>
          <w:szCs w:val="28"/>
          <w:rtl w:val="true"/>
          <w:lang w:bidi="ar-SA"/>
        </w:rPr>
        <w:t xml:space="preserve">وَ تَهْوِیلٍ وَ أَمْرٍ مُبْهَمٍ </w:t>
      </w:r>
      <w:r>
        <w:rPr>
          <w:rStyle w:val="FootnoteAnchor"/>
          <w:rtl w:val="true"/>
        </w:rPr>
        <w:footnoteReference w:id="134"/>
      </w:r>
      <w:r>
        <w:rPr>
          <w:rFonts w:ascii="Amiri" w:hAnsi="Amiri" w:eastAsia="Amiri" w:cs="Amiri"/>
          <w:color w:val="111111"/>
          <w:sz w:val="28"/>
          <w:sz w:val="28"/>
          <w:szCs w:val="28"/>
          <w:rtl w:val="true"/>
          <w:lang w:bidi="ar-SA"/>
        </w:rPr>
        <w:t>لاَ یَدْرِی مِنْ أَیِّ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وَلِیُّنَا وَ اَلْمُطِیعُ لِأَمْرِنَا فَهُوَ اَلْمُبَشَّرُ بِنَعِیمِ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عَدُوُّنَا وَ اَلْمُخَالِفُ لِأَمْرِنَا، فَهُوَ اَلْمُبَشَّرُ بِعَذَابِ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اَلْمُبْهَمُ أَمْرُهُ اَلَّذِی لاَ یَدْرِی مَا حَالُهُ، فَهُوَ اَلْمُؤْمِنُ اَلْمُسْرِفُ عَلَی نَفْسِهِ لاَ یَدْرِی مَا یَؤُولُ حَالُهُ </w:t>
      </w:r>
      <w:r>
        <w:rPr>
          <w:rStyle w:val="FootnoteAnchor"/>
          <w:rtl w:val="true"/>
        </w:rPr>
        <w:footnoteReference w:id="135"/>
      </w:r>
      <w:r>
        <w:rPr>
          <w:rFonts w:ascii="Amiri" w:hAnsi="Amiri" w:eastAsia="Amiri" w:cs="Amiri"/>
          <w:color w:val="111111"/>
          <w:sz w:val="28"/>
          <w:sz w:val="28"/>
          <w:szCs w:val="28"/>
          <w:rtl w:val="true"/>
          <w:lang w:bidi="ar-SA"/>
        </w:rPr>
        <w:t xml:space="preserve">یَأْتِیهِ اَلْخَبَرُ مُبْهَماً مَخُوفاً </w:t>
      </w:r>
      <w:r>
        <w:rPr>
          <w:rStyle w:val="FootnoteAnchor"/>
          <w:rtl w:val="true"/>
        </w:rPr>
        <w:footnoteReference w:id="136"/>
      </w:r>
      <w:r>
        <w:rPr>
          <w:rFonts w:ascii="Amiri" w:hAnsi="Amiri" w:eastAsia="Amiri" w:cs="Amiri"/>
          <w:color w:val="111111"/>
          <w:sz w:val="28"/>
          <w:sz w:val="28"/>
          <w:szCs w:val="28"/>
          <w:rtl w:val="true"/>
          <w:lang w:bidi="ar-SA"/>
        </w:rPr>
        <w:t>ثُمَّ لَنْ یُسَوِّیَهُ اَللَّهُ بِأَعْدَائِنَا، وَ یُخْرِجُهُ مِنَ اَلنَّارِ بِشَفَاعَتِنَا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w:t>
      </w:r>
      <w:r>
        <w:rPr>
          <w:rStyle w:val="FootnoteAnchor"/>
          <w:rtl w:val="true"/>
        </w:rPr>
        <w:footnoteReference w:id="137"/>
      </w:r>
      <w:r>
        <w:rPr>
          <w:rFonts w:ascii="Amiri" w:hAnsi="Amiri" w:eastAsia="Amiri" w:cs="Amiri"/>
          <w:color w:val="111111"/>
          <w:sz w:val="28"/>
          <w:sz w:val="28"/>
          <w:szCs w:val="28"/>
          <w:rtl w:val="true"/>
          <w:lang w:bidi="ar-SA"/>
        </w:rPr>
        <w:t xml:space="preserve">وَ أَطِیعُوا وَ لاَ تَتَّکِلُوا </w:t>
      </w:r>
      <w:r>
        <w:rPr>
          <w:rStyle w:val="FootnoteAnchor"/>
          <w:rtl w:val="true"/>
        </w:rPr>
        <w:footnoteReference w:id="138"/>
      </w:r>
      <w:r>
        <w:rPr>
          <w:rFonts w:ascii="Amiri" w:hAnsi="Amiri" w:eastAsia="Amiri" w:cs="Amiri"/>
          <w:color w:val="111111"/>
          <w:sz w:val="28"/>
          <w:sz w:val="28"/>
          <w:szCs w:val="28"/>
          <w:rtl w:val="true"/>
          <w:lang w:bidi="ar-SA"/>
        </w:rPr>
        <w:t xml:space="preserve">، وَ لاَ تَسْتَصْغِرُوا عُقُوبَةَ اَللَّهِ، فَإِنَّ مِنَ </w:t>
      </w:r>
    </w:p>
    <w:p>
      <w:pPr>
        <w:pStyle w:val="BookText"/>
        <w:rPr/>
      </w:pPr>
      <w:r>
        <w:rPr>
          <w:rFonts w:ascii="Amiri" w:hAnsi="Amiri" w:eastAsia="Amiri" w:cs="Amiri"/>
          <w:color w:val="111111"/>
          <w:sz w:val="28"/>
          <w:sz w:val="28"/>
          <w:szCs w:val="28"/>
          <w:rtl w:val="true"/>
          <w:lang w:bidi="ar-SA"/>
        </w:rPr>
        <w:t>اَلْمُسْرِفِینَ مَنْ لاَ یَلْحَقُهُ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 مَا اَلْمَوْتُ اَلَّذِی جَهِلُوهُ؟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سُرُورٍ یَرِدُ عَلَی اَلْمُؤْمِنِینَ إِذْ نُقِلُوا عَنْ دَارِ اَلنَّکَدِ إِلَی نَعِیمِ اَلْأَبَدِ، وَ أَعْظَمُ ثُبُورٍ یَرِدُ عَلَی اَلْکَافِرِینَ إِذْ نُقِلُوا عَنْ جَنَّتِهِمْ إِلَی نَارٍ لاَ تَبِیدُ وَ لاَ تَنْفَدُ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اِشْتَدَّ اَلْأَمْرُ بِالْحُسَیْنِ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إِلَیْهِ مَنْ کَانَ مَعَهُ فَإِذَا هُوَ بِخِلاَفِهِمْ، لِأَنَّهُمْ إِذَا اِشْتَدَّ بِهِمُ اَلْأَمْرُ تَغَیَّرَتْ أَلْوَانُهُمْ، وَ اِرْتَعَدَتْ فَرَائِصُهُمْ، وَ وَجِلَتْ قُلُوبُهُمْ، وَ وَجَبَتْ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 مَنْ مَعَهُ مِنْ خَوَاصِّهِ </w:t>
      </w:r>
      <w:r>
        <w:rPr>
          <w:rStyle w:val="FootnoteAnchor"/>
          <w:rtl w:val="true"/>
        </w:rPr>
        <w:footnoteReference w:id="141"/>
      </w:r>
      <w:r>
        <w:rPr>
          <w:rFonts w:ascii="Amiri" w:hAnsi="Amiri" w:eastAsia="Amiri" w:cs="Amiri"/>
          <w:color w:val="111111"/>
          <w:sz w:val="28"/>
          <w:sz w:val="28"/>
          <w:szCs w:val="28"/>
          <w:rtl w:val="true"/>
          <w:lang w:bidi="ar-SA"/>
        </w:rPr>
        <w:t>تُشْرِقُ أَلْوَانُهُمْ، وَ تَهْدَأُ جَوَارِحُهُمْ، وَ تَسْکُنُ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إِلَیْهِ لاَ یُبَالِی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صَبْراً بَنِی اَلْکِرَامِ، فَمَا اَلْمَوْتُ إِلاَّ قَنْطَرَةٌ تَعْبُرُ بِکُمْ عَنِ اَلْبُؤْسِ وَ اَلضُّرِّ </w:t>
      </w:r>
      <w:r>
        <w:rPr>
          <w:rStyle w:val="FootnoteAnchor"/>
          <w:rtl w:val="true"/>
        </w:rPr>
        <w:footnoteReference w:id="142"/>
      </w:r>
      <w:r>
        <w:rPr>
          <w:rFonts w:ascii="Amiri" w:hAnsi="Amiri" w:eastAsia="Amiri" w:cs="Amiri"/>
          <w:color w:val="111111"/>
          <w:sz w:val="28"/>
          <w:sz w:val="28"/>
          <w:szCs w:val="28"/>
          <w:rtl w:val="true"/>
          <w:lang w:bidi="ar-SA"/>
        </w:rPr>
        <w:t xml:space="preserve">إِلَی اَلْجِنَانِ اَلْوَاسِعَةِ وَ اَلنِّعَمِ </w:t>
      </w:r>
      <w:r>
        <w:rPr>
          <w:rStyle w:val="FootnoteAnchor"/>
          <w:rtl w:val="true"/>
        </w:rPr>
        <w:footnoteReference w:id="143"/>
      </w:r>
      <w:r>
        <w:rPr>
          <w:rFonts w:ascii="Amiri" w:hAnsi="Amiri" w:eastAsia="Amiri" w:cs="Amiri"/>
          <w:color w:val="111111"/>
          <w:sz w:val="28"/>
          <w:sz w:val="28"/>
          <w:szCs w:val="28"/>
          <w:rtl w:val="true"/>
          <w:lang w:bidi="ar-SA"/>
        </w:rPr>
        <w:t>اَلدَّائِمَةِ، فَأَیُّکُمْ یَکْرَهُ أَنْ یَنْتَقِلَ مِنْ سِجْنٍ إِلَی قَصْرٍ، وَ هَؤُلاَءِ أَعْدَاؤُکُمْ کَمَنْ یَنْتَقِلُ مِنْ قَصْرٍ إِلَی سِجْنٍ وَ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اَلدُّنْیَا سِجْنُ اَلْمُؤْمِنِ وَ جَنَّةُ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جِسْرُ </w:t>
      </w:r>
      <w:r>
        <w:rPr>
          <w:rStyle w:val="FootnoteAnchor"/>
          <w:rtl w:val="true"/>
        </w:rPr>
        <w:footnoteReference w:id="144"/>
      </w:r>
      <w:r>
        <w:rPr>
          <w:rFonts w:ascii="Amiri" w:hAnsi="Amiri" w:eastAsia="Amiri" w:cs="Amiri"/>
          <w:color w:val="111111"/>
          <w:sz w:val="28"/>
          <w:sz w:val="28"/>
          <w:szCs w:val="28"/>
          <w:rtl w:val="true"/>
          <w:lang w:bidi="ar-SA"/>
        </w:rPr>
        <w:t>هَؤُلاَءِ إِلَی جَنَّاتِهِمْ، وَ جِسْرُ هَؤُلاَءِ إِلَی جَحِیمِهِمْ، مَا کَذَبْتُ وَ لاَ کُذِبْتُ</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کَنَزْعِ ثِیَابٍ وَسِخَةٍ قَمِلَةٍ، وَ فَکِّ قُیُودٍ وَ أَغْلاَلٍ ثَقِیلَةٍ، وَ اَلاِسْتِبْدَالِ بِأَفْخَرِ اَلثِّیَابِ وَ أَطْیَبِهَا رَوَائِحَ، وَ أَوْطَأِ اَلْمَرَاکِبِ، وَ آنَسِ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لِلْکَافِرِ کَخَلْعِ ثِیَابٍ فَاخِرَةٍ، وَ اَلنَّقْلِ عَنْ مَنَازِلَ أَنِیسَةٍ، وَ اَلاِسْتِبْدَالِ </w:t>
      </w:r>
      <w:r>
        <w:rPr>
          <w:rStyle w:val="FootnoteAnchor"/>
          <w:rtl w:val="true"/>
        </w:rPr>
        <w:footnoteReference w:id="146"/>
      </w:r>
      <w:r>
        <w:rPr>
          <w:rFonts w:ascii="Amiri" w:hAnsi="Amiri" w:eastAsia="Amiri" w:cs="Amiri"/>
          <w:color w:val="111111"/>
          <w:sz w:val="28"/>
          <w:sz w:val="28"/>
          <w:szCs w:val="28"/>
          <w:rtl w:val="true"/>
          <w:lang w:bidi="ar-SA"/>
        </w:rPr>
        <w:t xml:space="preserve">بِأَوْسَخِ اَلثِّیَابِ وَ أَخْشَنِهَا، وَ أَوْحَشِ </w:t>
      </w:r>
      <w:r>
        <w:rPr>
          <w:rStyle w:val="FootnoteAnchor"/>
          <w:rtl w:val="true"/>
        </w:rPr>
        <w:footnoteReference w:id="147"/>
      </w:r>
      <w:r>
        <w:rPr>
          <w:rFonts w:ascii="Amiri" w:hAnsi="Amiri" w:eastAsia="Amiri" w:cs="Amiri"/>
          <w:color w:val="111111"/>
          <w:sz w:val="28"/>
          <w:sz w:val="28"/>
          <w:szCs w:val="28"/>
          <w:rtl w:val="true"/>
          <w:lang w:bidi="ar-SA"/>
        </w:rPr>
        <w:t>اَلْمَنَازِلِ، وَ أَعْظَمِ اَلْعَذَابِ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اَلنَّوْمُ اَلَّذِی یَأْتِیکُمْ فِی کُلِّ لَیْلَةٍ، إِلاَّ أَنَّهُ طَوِیلٌ مُدَّتُهُ </w:t>
      </w:r>
      <w:r>
        <w:rPr>
          <w:rStyle w:val="FootnoteAnchor"/>
          <w:rtl w:val="true"/>
        </w:rPr>
        <w:footnoteReference w:id="148"/>
      </w:r>
      <w:r>
        <w:rPr>
          <w:rFonts w:ascii="Amiri" w:hAnsi="Amiri" w:eastAsia="Amiri" w:cs="Amiri"/>
          <w:color w:val="111111"/>
          <w:sz w:val="28"/>
          <w:sz w:val="28"/>
          <w:szCs w:val="28"/>
          <w:rtl w:val="true"/>
          <w:lang w:bidi="ar-SA"/>
        </w:rPr>
        <w:t xml:space="preserve">لاَ یُنْتَبَهُ </w:t>
      </w:r>
      <w:r>
        <w:rPr>
          <w:rStyle w:val="FootnoteAnchor"/>
          <w:rtl w:val="true"/>
        </w:rPr>
        <w:footnoteReference w:id="149"/>
      </w:r>
      <w:r>
        <w:rPr>
          <w:rFonts w:ascii="Amiri" w:hAnsi="Amiri" w:eastAsia="Amiri" w:cs="Amiri"/>
          <w:color w:val="111111"/>
          <w:sz w:val="28"/>
          <w:sz w:val="28"/>
          <w:szCs w:val="28"/>
          <w:rtl w:val="true"/>
          <w:lang w:bidi="ar-SA"/>
        </w:rPr>
        <w:t xml:space="preserve">مِنْهُ إِلاَّ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رَأَی فِی مَنَامِهِ مِنْ أَصْنَافِ اَلْفَرَحِ مَا لاَ یُقَادِرُ قَدْرَهُ، وَ مِنْهُمْ مَنْ رَأَی فِی نَوْمِهِ مِنْ أَصْنَافِ اَلْأَهْوَالِ مَا لاَ یُقَادِرُ قَدْرَهُ، فَکَیْفَ حَالُ مَنْ فَرِحَ فِی اَلْمَوْتِ </w:t>
      </w:r>
      <w:r>
        <w:rPr>
          <w:rStyle w:val="FootnoteAnchor"/>
          <w:rtl w:val="true"/>
        </w:rPr>
        <w:footnoteReference w:id="150"/>
      </w:r>
      <w:r>
        <w:rPr>
          <w:rFonts w:ascii="Amiri" w:hAnsi="Amiri" w:eastAsia="Amiri" w:cs="Amiri"/>
          <w:color w:val="111111"/>
          <w:sz w:val="28"/>
          <w:sz w:val="28"/>
          <w:szCs w:val="28"/>
          <w:rtl w:val="true"/>
          <w:lang w:bidi="ar-SA"/>
        </w:rPr>
        <w:t>وَ وَجِلَ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اَلْمَوْتُ فَاسْتَعِدُّوا 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لِلْمُؤْمِنِینَ کَأَطْیَبِ رِیحٍ یَشَمُّهُ فَیَنْعُسُ </w:t>
      </w:r>
      <w:r>
        <w:rPr>
          <w:rStyle w:val="FootnoteAnchor"/>
          <w:rtl w:val="true"/>
        </w:rPr>
        <w:footnoteReference w:id="152"/>
      </w:r>
      <w:r>
        <w:rPr>
          <w:rFonts w:ascii="Amiri" w:hAnsi="Amiri" w:eastAsia="Amiri" w:cs="Amiri"/>
          <w:color w:val="111111"/>
          <w:sz w:val="28"/>
          <w:sz w:val="28"/>
          <w:szCs w:val="28"/>
          <w:rtl w:val="true"/>
          <w:lang w:bidi="ar-SA"/>
        </w:rPr>
        <w:t xml:space="preserve">لِطِیبِهِ فَیَنْقَطِعُ </w:t>
      </w:r>
      <w:r>
        <w:rPr>
          <w:rStyle w:val="FootnoteAnchor"/>
          <w:rtl w:val="true"/>
        </w:rPr>
        <w:footnoteReference w:id="153"/>
      </w:r>
      <w:r>
        <w:rPr>
          <w:rFonts w:ascii="Amiri" w:hAnsi="Amiri" w:eastAsia="Amiri" w:cs="Amiri"/>
          <w:color w:val="111111"/>
          <w:sz w:val="28"/>
          <w:sz w:val="28"/>
          <w:szCs w:val="28"/>
          <w:rtl w:val="true"/>
          <w:lang w:bidi="ar-SA"/>
        </w:rPr>
        <w:t>اَلتَّعَبُ وَ اَلْأَلَمُ کُلُّهُ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لِلْکَافِرِ کَلَسْعِ اَلْأَفَاعِیِّ وَ کَلَدْغِ اَلْعَقَارِبِ وَ أَشَدَّ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یَقُولُونَ </w:t>
      </w:r>
      <w:r>
        <w:rPr>
          <w:rStyle w:val="FootnoteAnchor"/>
          <w:rtl w:val="true"/>
        </w:rPr>
        <w:footnoteReference w:id="154"/>
      </w:r>
      <w:r>
        <w:rPr>
          <w:rFonts w:ascii="Amiri" w:hAnsi="Amiri" w:eastAsia="Amiri" w:cs="Amiri"/>
          <w:color w:val="111111"/>
          <w:sz w:val="28"/>
          <w:sz w:val="28"/>
          <w:szCs w:val="28"/>
          <w:rtl w:val="true"/>
          <w:lang w:bidi="ar-SA"/>
        </w:rPr>
        <w:t xml:space="preserve">هُوَ أَشَدُّ مِنْ نَشْرٍ بِالْمَنَاشِیرِ، وَ قَرْضٍ بِالْمَقَارِیضِ، </w:t>
      </w:r>
    </w:p>
    <w:p>
      <w:pPr>
        <w:pStyle w:val="BookText"/>
        <w:rPr/>
      </w:pPr>
      <w:r>
        <w:rPr>
          <w:rFonts w:ascii="Amiri" w:hAnsi="Amiri" w:eastAsia="Amiri" w:cs="Amiri"/>
          <w:color w:val="111111"/>
          <w:sz w:val="28"/>
          <w:sz w:val="28"/>
          <w:szCs w:val="28"/>
          <w:rtl w:val="true"/>
          <w:lang w:bidi="ar-SA"/>
        </w:rPr>
        <w:t>وَ رَضْخٍ بِالْحِجَارَةِ، وَ تَدْوِیرِ قُطْبِ اَلْأَرْحِیَةِ فِی اَلْأَحْدَاقِ؟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هُوَ عَلَی بَعْضِ اَلْکَافِرِینَ وَ اَلْفَاجِرِینَ، أَلاَ تَرَوْنَ مِنْهُمْ مَنْ یُعَایِنُ تِلْکَ اَلشَّدَائِدَ فَذَلِکُمُ اَلَّذِی هُوَ أَشَدُّ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عَذَابِ اَلْآخِرَةِ فَإِنَّهُ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نَرَی کَافِراً یَسْهُلُ عَلَیْهِ اَلنَّزْعُ فَیَنْطَفِئُ وَ هُوَ یَتَحَدَّثُ وَ یَضْحَکُ وَ یَتَکَلَّمُ، وَ فِی اَلْمُؤْمِنِینَ مَنْ یَکُونُ أَیْضاً کَذَلِکَ، وَ فِی اَلْمُؤْمِنِینَ وَ اَلْکَافِرِینَ مَنْ یُقَاسِی عِنْدَ سَکَرَاتِ اَلْمَوْتِ هَذِهِ اَلشَّدَائِدَ؟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مِنْ رَاحَةٍ هُنَاکَ لِلْمُؤْمِنِینَ فَهُوَ عَاجِلُ ثَوَابِهِ، وَ مَا کَانَ مِنْ شِدَّةٍ فَهُوَ تَمْحِیصُهُ مِنْ ذُنُوبِهِ، لِیَرِدَ إِلَی اَلْآخِرَةِ نَقِیّاً </w:t>
      </w:r>
      <w:r>
        <w:rPr>
          <w:rStyle w:val="FootnoteAnchor"/>
          <w:rtl w:val="true"/>
        </w:rPr>
        <w:footnoteReference w:id="155"/>
      </w:r>
      <w:r>
        <w:rPr>
          <w:rFonts w:ascii="Amiri" w:hAnsi="Amiri" w:eastAsia="Amiri" w:cs="Amiri"/>
          <w:color w:val="111111"/>
          <w:sz w:val="28"/>
          <w:sz w:val="28"/>
          <w:szCs w:val="28"/>
          <w:rtl w:val="true"/>
          <w:lang w:bidi="ar-SA"/>
        </w:rPr>
        <w:t>نَظِیفاً مُسْتَحِقّاً لِثَوَابِ اَللَّهِ لَیْسَ لَهُ مَانِعٌ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 سُهُولَةٍ هُنَاکَ عَلَی اَلْکَافِرِینَ فَلِیُوَفَّی </w:t>
      </w:r>
      <w:r>
        <w:rPr>
          <w:rStyle w:val="FootnoteAnchor"/>
          <w:rtl w:val="true"/>
        </w:rPr>
        <w:footnoteReference w:id="156"/>
      </w:r>
      <w:r>
        <w:rPr>
          <w:rFonts w:ascii="Amiri" w:hAnsi="Amiri" w:eastAsia="Amiri" w:cs="Amiri"/>
          <w:color w:val="111111"/>
          <w:sz w:val="28"/>
          <w:sz w:val="28"/>
          <w:szCs w:val="28"/>
          <w:rtl w:val="true"/>
          <w:lang w:bidi="ar-SA"/>
        </w:rPr>
        <w:t>أَجْرَ حَسَنَاتِهِ فِی اَلدُّنْیَا، لِیَرِدَ اَلْآخِرَةَ وَ لَیْسَ لَهُ إِلاَّ مَا یُوجِبُ عَلَیْهِ اَلْعَذَابَ، وَ مَا کَانَ مِنْ شِدَّةٍ عَلَی اَلْکَافِرِ هُنَاکَ فَهُوَ اِبْتِدَاءُ عِقَابِ اَللَّهِ عِنْدَ نَفَادِ حَسَنَاتِهِ، ذَلِکُمْ بِأَنَّ اَللَّهَ عَدْلٌ لاَ یَجُورُ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عَلَی رَجُلٍ قَدْ غَرِقَ فِی سَکَرَاتِ اَلْمَوْتِ وَ هُوَ لاَ یُجِیبُ دَاعِیاً،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 وَدَدْنَا لَوْ عَرَفْنَا کَیْفَ حَالُ صَاحِبِنَا، وَ کَیْفَ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هُوَ 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یُصَفِّی اَلْمُؤْمِنِینَ مِنْ ذُنُوبِهِمْ، فَیَکُونُ آخِرُ أَلَمٍ یُصِیبُهُمْ کَفَّارَةَ آخِرِ وِزْرٍ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یُصَفِّی اَلْکَافِرِینَ مِنْ حَسَنَاتِهِمْ، فَتَکُونُ آخِرُ لَذَّةٍ أَوْ نِعْمَةٍ أَوْ رَحْمَةٍ تَلْحَقُهُمْ هُوَ آخِرُ ثَوَابِ حَسَنَةٍ تَکُونُ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صَاحِبُکُمْ </w:t>
      </w:r>
    </w:p>
    <w:p>
      <w:pPr>
        <w:pStyle w:val="BookText"/>
        <w:rPr/>
      </w:pPr>
      <w:r>
        <w:rPr>
          <w:rFonts w:ascii="Amiri" w:hAnsi="Amiri" w:eastAsia="Amiri" w:cs="Amiri"/>
          <w:color w:val="111111"/>
          <w:sz w:val="28"/>
          <w:sz w:val="28"/>
          <w:szCs w:val="28"/>
          <w:rtl w:val="true"/>
          <w:lang w:bidi="ar-SA"/>
        </w:rPr>
        <w:t xml:space="preserve">فَقَدْ نُخِلَ مِنَ اَلذُّنُوبِ نَخْلاً </w:t>
      </w:r>
      <w:r>
        <w:rPr>
          <w:rStyle w:val="FootnoteAnchor"/>
          <w:rtl w:val="true"/>
        </w:rPr>
        <w:footnoteReference w:id="158"/>
      </w:r>
      <w:r>
        <w:rPr>
          <w:rFonts w:ascii="Amiri" w:hAnsi="Amiri" w:eastAsia="Amiri" w:cs="Amiri"/>
          <w:color w:val="111111"/>
          <w:sz w:val="28"/>
          <w:sz w:val="28"/>
          <w:szCs w:val="28"/>
          <w:rtl w:val="true"/>
          <w:lang w:bidi="ar-SA"/>
        </w:rPr>
        <w:t xml:space="preserve">وَ صُفِّیَ مِنَ اَلْآثَامِ تَصْفِیَةً، وَ خُلِّصَ حَتَّی نُقِّیَ کَمَا یُنَقَّی ثَوْبٌ مِنَ اَلْوَسَخِ، وَ صَلُحَ لِمُعَاشَرَتِنَا أَهْلَ اَلْبَیْتِ فِی </w:t>
      </w:r>
      <w:r>
        <w:rPr>
          <w:rStyle w:val="FootnoteAnchor"/>
          <w:rtl w:val="true"/>
        </w:rPr>
        <w:footnoteReference w:id="159"/>
      </w:r>
      <w:r>
        <w:rPr>
          <w:rFonts w:ascii="Amiri" w:hAnsi="Amiri" w:eastAsia="Amiri" w:cs="Amiri"/>
          <w:color w:val="111111"/>
          <w:sz w:val="28"/>
          <w:sz w:val="28"/>
          <w:szCs w:val="28"/>
          <w:rtl w:val="true"/>
          <w:lang w:bidi="ar-SA"/>
        </w:rPr>
        <w:t>دَارِنَا دَارِ اَلْأَبَدِ</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مَرِضَ رَجُلٌ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فَعَادَهُ،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اَلْمَوْتَ بَعْدَکَ، یُرِیدُ بِهِ مَا لَقِیَ مِنْ شِدَّةِ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لَقِیتَهُ؟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أَلِیماً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لَقِیتَهُ، وَ لَکِنْ لَقِیتَ مَا یُنْذِرُکَ بِهِ، وَ یُعَرِّفُکَ بَعْضَ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مُسْتَرِیحٌ بِالْمَوْتِ، وَ مُسْتَرَاحٌ مِنْهُ </w:t>
      </w:r>
      <w:r>
        <w:rPr>
          <w:rStyle w:val="FootnoteAnchor"/>
          <w:rtl w:val="true"/>
        </w:rPr>
        <w:footnoteReference w:id="161"/>
      </w:r>
      <w:r>
        <w:rPr>
          <w:rFonts w:ascii="Amiri" w:hAnsi="Amiri" w:eastAsia="Amiri" w:cs="Amiri"/>
          <w:color w:val="111111"/>
          <w:sz w:val="28"/>
          <w:sz w:val="28"/>
          <w:szCs w:val="28"/>
          <w:rtl w:val="true"/>
          <w:lang w:bidi="ar-SA"/>
        </w:rPr>
        <w:t xml:space="preserve">فَجَدِّدِ اَلْإِیمَانَ بِاللَّهِ </w:t>
      </w:r>
      <w:r>
        <w:rPr>
          <w:rStyle w:val="FootnoteAnchor"/>
          <w:rtl w:val="true"/>
        </w:rPr>
        <w:footnoteReference w:id="162"/>
      </w:r>
      <w:r>
        <w:rPr>
          <w:rFonts w:ascii="Amiri" w:hAnsi="Amiri" w:eastAsia="Amiri" w:cs="Amiri"/>
          <w:color w:val="111111"/>
          <w:sz w:val="28"/>
          <w:sz w:val="28"/>
          <w:szCs w:val="28"/>
          <w:rtl w:val="true"/>
          <w:lang w:bidi="ar-SA"/>
        </w:rPr>
        <w:t>وَ بِالْوَلاَیَةِ تَکُنْ مُسْتَرِیحاً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اَلرَّجُلُ ذَلِکَ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لِمُحَمَّدِ بْنِ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اَلْمُسْلِمِینَ یَکْرَهُونَ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جَهِلُوهُ فَکَرِهُوهُ، وَ لَوْ عَرَفُوهُ وَ کَانُوا مِنْ أَوْلِیَاءِ اَللَّهِ حَقّاً لَأَحَبُّوهُ، وَ لَعَلِمُوا أَنَّ اَلْآخِرَةَ خَیْرٌ لَهُمْ مِنَ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 مَا بَالُ اَلصَّبِیِّ وَ اَلْمَجْنُونِ یَمْتَنِعُ مِنَ اَلدَّوَاءِ اَلْمُنَقِّی لِبَدَنِهِ وَ اَلنَّافِی لِلْأَلَمِ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لِجَهْلِهِمْ بِنَفْعِ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 بَعَثَ مُحَمَّداً بِالْحَقِّ نَبِیّاً، إِنَّ مَنْ قَدِ اِسْتَعَدَّ لِلْمَوْتِ حَقَّ اَلاِسْتِعْدَادِ فَهُوَ </w:t>
      </w:r>
      <w:r>
        <w:rPr>
          <w:rStyle w:val="FootnoteAnchor"/>
          <w:rtl w:val="true"/>
        </w:rPr>
        <w:footnoteReference w:id="164"/>
      </w:r>
      <w:r>
        <w:rPr>
          <w:rFonts w:ascii="Amiri" w:hAnsi="Amiri" w:eastAsia="Amiri" w:cs="Amiri"/>
          <w:color w:val="111111"/>
          <w:sz w:val="28"/>
          <w:sz w:val="28"/>
          <w:szCs w:val="28"/>
          <w:rtl w:val="true"/>
          <w:lang w:bidi="ar-SA"/>
        </w:rPr>
        <w:t xml:space="preserve">أَنْفَعُ لَهُمْ مِنْ هَذَا اَلدَّوَاءِ لِهَذَا اَلْمُتَعَالِجِ، أَمَا إِنَّهُمْ لَوْ عَلِمُوا مَا </w:t>
      </w:r>
    </w:p>
    <w:p>
      <w:pPr>
        <w:pStyle w:val="BookText"/>
        <w:rPr/>
      </w:pPr>
      <w:r>
        <w:rPr>
          <w:rFonts w:ascii="Amiri" w:hAnsi="Amiri" w:eastAsia="Amiri" w:cs="Amiri"/>
          <w:color w:val="111111"/>
          <w:sz w:val="28"/>
          <w:sz w:val="28"/>
          <w:szCs w:val="28"/>
          <w:rtl w:val="true"/>
          <w:lang w:bidi="ar-SA"/>
        </w:rPr>
        <w:t>یُؤَدِّی إِلَیْهِ اَلْمَوْتُ مِنَ اَلنِّعَمِ، لاَسْتَدْعَوْهُ وَ أَحَبُّوهُ أَشَدَّ مِمَّا یَسْتَدْعِی اَلْعَاقِلُ اَلْحَازِمُ اَلدَّوَاءَ، لِدَفْعِ اَلْآفَاتِ وَ اِجْتِلاَبِ اَلسَّلاَمَاتِ</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مَرِیضٍ مِنْ أَصْحَابِهِ وَ هُوَ یَبْکِی وَ یَجْزَعُ مِنَ اَلْمَوْتِ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عَبْدَ اَللَّهِ، تَخَافُ مِنَ اَلْمَوْتِ لِأَنَّکَ لاَ تَعْرِفُهُ، أَ رَأَیْتَکَ إِذَا اِتَّسَخَتْ ثِیَابُکَ وَ تَقَذَّرَتْ، وَ تَأَذَّیْتَ بِمَا عَلَیْکَ مِنَ اَلْوَسَخِ وَ القذرة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أَصَابَکَ قُرُوحٌ وَ جَرَبٌ، وَ عَلِمْتَ أَنَّ اَلْغَسْلَ فِی حَمَّامٍ یُزِیلُ عَنْکَ ذَلِکَ کُلَّهُ، أَمَا تُرِیدُ أَنْ تَدْخُلَهُ فَتَغْسِلَ فَیَزُولَ </w:t>
      </w:r>
      <w:r>
        <w:rPr>
          <w:rStyle w:val="FootnoteAnchor"/>
          <w:rtl w:val="true"/>
        </w:rPr>
        <w:footnoteReference w:id="166"/>
      </w:r>
      <w:r>
        <w:rPr>
          <w:rFonts w:ascii="Amiri" w:hAnsi="Amiri" w:eastAsia="Amiri" w:cs="Amiri"/>
          <w:color w:val="111111"/>
          <w:sz w:val="28"/>
          <w:sz w:val="28"/>
          <w:szCs w:val="28"/>
          <w:rtl w:val="true"/>
          <w:lang w:bidi="ar-SA"/>
        </w:rPr>
        <w:t>ذَلِکَ عَنْکَ، أَ وَ مَا تَکْرَهُ أَنْ لاَ تَدْخُلَهُ فَیَبْقَی ذَلِکَ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فَذَلِکَ اَلْمَوْتُ هُوَ ذَلِکَ اَلْحَمَّامُ، وَ هُوَ آخِرُ مَا بَقِیَ عَلَیْکَ مِنْ تَمْحِیصِ ذُنُوبِکَ وَ تَنْقِیَتِکَ مِنْ سَیِّئَاتِکَ، فَإِذَا أَنْتَ وَرَدْتَ عَلَیْهِ وَ جَاوَزْتَهُ، فَقَدْ نَجَوْتَ مِنْ کُلِّ غَمٍّ وَ هَمٍّ وَ أَذًی وَ وَصَلْتَ إِلَی سُرُورٍ وَ فَرَحٍ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فَسَکَنَ اَلرَّجُلُ وَ نَشَطَ وَ اِسْتَسْلَمَ وَ غَمَّضَ عَیْنَ نَفْسِهِ وَ مَضَی لِسَبِیلِهِ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اَلْمَوْتِ،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اَلتَّصْدِیقُ بِمَا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أَبِیهِ عَنْ جَدِّهِ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لَمْ یَکُنْ مَیِّتاً، وَ إِنَّ اَلْکَافِرَ هُوَ اَلْمَیِّتُ،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یَعْنِی اَلْمُؤْمِنَ مِنَ اَلْکَافِرِ ، وَ اَلْکَافِرَ مِنَ اَلْمُؤْمِنِ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إِلَی اَلنَّبِیِّ صَلَّی اَللَّهُ عَلَیْهِ وَ آلِهِ وَ سَلَّمَ، فَقَالَ یَا رَسُولَ اَللَّهِ ، مَا بَالِی لاَ أُحِبُّ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لَکَ 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لِأَبِی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نَکْرَهُ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عَمَّرْتُمُ اَلدُّنْیَا وَ خَرَّبْتُمُ اَلْآخِرَةَ، فَتَکْرَهُونَ أَنْ تُنْقَلُوا مِنْ عُمْرَانٍ إِلَی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 قُدُومَنَا عَلَی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فَکَالْغَائِبِ یَقْدَمُ عَلَی أَهْلِهِ، وَ أَمَّا اَلْمُسِیءُ فَکَالْآبِقِ یَقْدَمُ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تَرَی حَالَنَا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أَعْمَالَکُمْ عَلَی کِتَابِ اَللَّهِ ،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170"/>
      </w:r>
      <w:bookmarkStart w:id="60" w:name="pg20035_204885"/>
    </w:p>
    <w:p>
      <w:pPr>
        <w:pStyle w:val="Heading2"/>
        <w:numPr>
          <w:ilvl w:val="1"/>
          <w:numId w:val="1"/>
        </w:numPr>
        <w:rPr/>
      </w:pPr>
      <w:bookmarkStart w:id="61" w:name="__RefHeading___Toc709748_373438147"/>
      <w:bookmarkStart w:id="62" w:name="_Toc20"/>
      <w:bookmarkEnd w:id="60"/>
      <w:bookmarkEnd w:id="61"/>
      <w:r>
        <w:rPr>
          <w:rtl w:val="true"/>
        </w:rPr>
        <w:t>[</w:t>
      </w:r>
      <w:r>
        <w:rPr/>
        <w:t>17</w:t>
      </w:r>
      <w:r>
        <w:rPr>
          <w:rtl w:val="true"/>
        </w:rPr>
        <w:t>]</w:t>
      </w:r>
      <w:r>
        <w:rPr>
          <w:rtl w:val="true"/>
        </w:rPr>
        <w:t>باب الاعتقاد فی المساءلة فی القبر</w:t>
      </w:r>
      <w:bookmarkEnd w:id="62"/>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المساءلة فی القبر أنّها حق لا بد منها، فمن أجاب بالصواب فاز بروح و ریحان فی قبره، و بجنّة نعیم فی الآخرة، و من لم یأت بالصواب فله نزل مِنْ حَمِیمٍ فی قبره وَ تَصْلِیَةُ جَحِیمٍ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یکون عذاب القبر من النمیمة، و سوء الخلق، و الاستخفاف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ما یکون عذاب القبر علی المؤمن </w:t>
      </w:r>
      <w:r>
        <w:rPr>
          <w:rStyle w:val="FootnoteAnchor"/>
          <w:rtl w:val="true"/>
        </w:rPr>
        <w:footnoteReference w:id="171"/>
      </w:r>
      <w:r>
        <w:rPr>
          <w:rFonts w:ascii="IRNazanin" w:hAnsi="IRNazanin" w:eastAsia="IRNazanin"/>
          <w:color w:val="111111"/>
          <w:sz w:val="28"/>
          <w:sz w:val="28"/>
          <w:szCs w:val="28"/>
          <w:rtl w:val="true"/>
          <w:lang w:bidi="fa-IR"/>
        </w:rPr>
        <w:t xml:space="preserve">مثل اختلاج العین أو شرطة حجام و یکون ذلک کفّارة لما بقی علیه من الذنوب التی </w:t>
      </w:r>
      <w:r>
        <w:rPr>
          <w:rStyle w:val="FootnoteAnchor"/>
          <w:rtl w:val="true"/>
        </w:rPr>
        <w:footnoteReference w:id="172"/>
      </w:r>
      <w:r>
        <w:rPr>
          <w:rFonts w:ascii="IRNazanin" w:hAnsi="IRNazanin" w:eastAsia="IRNazanin"/>
          <w:color w:val="111111"/>
          <w:sz w:val="28"/>
          <w:sz w:val="28"/>
          <w:szCs w:val="28"/>
          <w:rtl w:val="true"/>
          <w:lang w:bidi="fa-IR"/>
        </w:rPr>
        <w:t>لم تکفّرها الهموم و الغموم و الأمراض و شدّة النزع عند الموت،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 آلِهِ وَ سَلَّمَ کَفَّنَ فَاطِمَةَ بِنْتَ أَسَدٍ فِی قَمِیصِهِ بَعْدَ مَا فَرَغَ اَلنِّسَاءُ مِنْ غُسْلِهَا، وَ حَمَلَ جَنَازَتَهَا عَلَی عَاتِقِهِ فَلَمْ یَزَلْ تَحْتَ جَنَازَتِهَا حَتَّی أَوْرَدَهَا قَبْرَهَا، ثُمَّ وَضَعَهَا وَ دَخَلَ اَلْقَبْرَ وَ اِضْطَجَعَ فِیهِ، ثُمَّ قَامَ فَأَخَذَهَا عَلَی یَدَیْهِ وَ وَضَعَهَا فِی قَبْرِهَا، ثُمَّ اِنْکَبَّ عَلَیْهَا یُنَاجِیهَا طَوِیلاً وَ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 اِبْنُکِ، ثُمَّ خَرَجَ وَ سَوَّی عَلَیْهَا اَلتُّرَابَ، ثُمَّ اِنْکَبَّ عَلَی قَبْرِهَا، فَسَمِعُوهُ وَ هُوَ یَقُولُ </w:t>
      </w:r>
      <w:r>
        <w:rPr>
          <w:rStyle w:val="FootnoteAnchor"/>
          <w:rtl w:val="true"/>
        </w:rPr>
        <w:footnoteReference w:id="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اِسْتَوْدَعْتُهَا </w:t>
      </w:r>
      <w:r>
        <w:rPr>
          <w:rStyle w:val="FootnoteAnchor"/>
          <w:rtl w:val="true"/>
        </w:rPr>
        <w:footnoteReference w:id="174"/>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إِنَّا رَأَیْنَاکَ صَنَعْتَ اَلْیَوْمَ شَیْئاً لَمْ تَصْنَعْهُ قَبْلَ اَلْیَوْمِ؟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فَقَدْتُ بِرَّ أَبِی طَالِبٍ ، إِنَّهَا کَانَتْ یَکُونُ عِنْدَهَا اَلشَّیْءُ فَتُؤْثِرُنِی بِهِ عَلَی نَفْسِهَا 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ذَکَرْتُ یَوْمَ اَلْقِیَامَةِ یَوْماً وَ أَنَّ اَلنَّاسَ یُحْشَرُونَ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فَضَمِنْتُ لَهَا أَنْ یَبْعَثَهَا اَللَّهُ کَاسِیَةً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 فَضَمِنْتُ لَهَا أَنْ یَکْفِیَهَا اَللَّهُ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فَکَفَّنْتُهَا بِقَمِیصِی وَ اِضْطَجَعْتُ فِی قَبْرِهَا لِذَلِکَ، وَ اِنْکَبَبْتُ عَلَیْهَا فَلَقَّنْتُهَا مَا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سُئِلَتْ عَنْ رَبِّهَا فَقَالَتِ اَللَّهُ، وَ سُئِلَتْ عَنْ نَبِیِّهَا فَأَجَابَتْ </w:t>
      </w:r>
      <w:r>
        <w:rPr>
          <w:rStyle w:val="FootnoteAnchor"/>
          <w:rtl w:val="true"/>
        </w:rPr>
        <w:footnoteReference w:id="175"/>
      </w:r>
      <w:r>
        <w:rPr>
          <w:rFonts w:ascii="Amiri" w:hAnsi="Amiri" w:eastAsia="Amiri" w:cs="Amiri"/>
          <w:color w:val="111111"/>
          <w:sz w:val="28"/>
          <w:sz w:val="28"/>
          <w:szCs w:val="28"/>
          <w:rtl w:val="true"/>
          <w:lang w:bidi="ar-SA"/>
        </w:rPr>
        <w:t>، وَ سُئِلَتْ عَنْ وَلِیِّهَا وَ إِمَامِهَا فَارْتَجَّ عَلَیْهَا،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Style w:val="FootnoteAnchor"/>
          <w:rtl w:val="true"/>
        </w:rPr>
        <w:footnoteReference w:id="176"/>
      </w:r>
      <w:r>
        <w:rPr>
          <w:rFonts w:ascii="Amiri" w:hAnsi="Amiri" w:eastAsia="Amiri" w:cs="Amiri"/>
          <w:color w:val="111111"/>
          <w:sz w:val="28"/>
          <w:sz w:val="28"/>
          <w:szCs w:val="28"/>
          <w:rtl w:val="true"/>
          <w:lang w:bidi="ar-SA"/>
        </w:rPr>
        <w:t>وَلَدِی وَلِیِّی وَ إِمَامِی، فَانْصَرَفَا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سَبِیلَ لَنَا عَلَیْکِ، نَامِی کَمَا تَنَامُ اَلْعَرُوسُ فِی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مَاتَتْ مَوْتَةً ثَانِیَةً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تصدیق ذلک فی کتاب اللّه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اِثْنَتَیْنِ وَ أَحْیَیْتَنَا اِثْنَتَیْنِ فَاعْتَرَفْنٰا بِذُنُوبِنٰا فَهَلْ إِلیٰ خُرُوجٍ مِنْ سَبِیلٍ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63" w:name="pg20035_204887"/>
    </w:p>
    <w:p>
      <w:pPr>
        <w:pStyle w:val="Heading2"/>
        <w:numPr>
          <w:ilvl w:val="1"/>
          <w:numId w:val="1"/>
        </w:numPr>
        <w:rPr/>
      </w:pPr>
      <w:bookmarkStart w:id="64" w:name="__RefHeading___Toc709750_373438147"/>
      <w:bookmarkStart w:id="65" w:name="_Toc21"/>
      <w:bookmarkEnd w:id="63"/>
      <w:bookmarkEnd w:id="64"/>
      <w:r>
        <w:rPr>
          <w:rtl w:val="true"/>
        </w:rPr>
        <w:t>[</w:t>
      </w:r>
      <w:r>
        <w:rPr/>
        <w:t>18</w:t>
      </w:r>
      <w:r>
        <w:rPr>
          <w:rtl w:val="true"/>
        </w:rPr>
        <w:t>]</w:t>
      </w:r>
      <w:r>
        <w:rPr>
          <w:rtl w:val="true"/>
        </w:rPr>
        <w:t>باب الاعتقاد فی الرجعة</w:t>
      </w:r>
      <w:bookmarkEnd w:id="65"/>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فی الرجعة انّها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هَؤُلاَءِ سَبْعِینَ أَلْفَ </w:t>
      </w:r>
      <w:r>
        <w:rPr>
          <w:rStyle w:val="FootnoteAnchor"/>
          <w:rtl w:val="true"/>
        </w:rPr>
        <w:footnoteReference w:id="179"/>
      </w:r>
      <w:r>
        <w:rPr>
          <w:rFonts w:ascii="Amiri" w:hAnsi="Amiri" w:eastAsia="Amiri" w:cs="Amiri"/>
          <w:color w:val="111111"/>
          <w:sz w:val="28"/>
          <w:sz w:val="28"/>
          <w:szCs w:val="28"/>
          <w:rtl w:val="true"/>
          <w:lang w:bidi="ar-SA"/>
        </w:rPr>
        <w:t>بَیْتٍ، وَ کَانَ یَقَعُ فِیهِمُ اَلطَّاعُونُ کُلَّ سَنَةٍ، فَیَخْرُجُ اَلْأَغْنِیَاءُ لِقُوَّتِهِمْ، وَ یَبْقَی اَلْفُقَرَاءُ لِضَعْفِهِمْ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فَیَقِلُّ </w:t>
      </w:r>
      <w:r>
        <w:rPr>
          <w:rStyle w:val="FootnoteAnchor"/>
          <w:rtl w:val="true"/>
        </w:rPr>
        <w:footnoteReference w:id="180"/>
      </w:r>
      <w:r>
        <w:rPr>
          <w:rFonts w:ascii="Amiri" w:hAnsi="Amiri" w:eastAsia="Amiri" w:cs="Amiri"/>
          <w:color w:val="111111"/>
          <w:sz w:val="28"/>
          <w:sz w:val="28"/>
          <w:szCs w:val="28"/>
          <w:rtl w:val="true"/>
          <w:lang w:bidi="ar-SA"/>
        </w:rPr>
        <w:t>اَلطَّاعُونُ فِی اَلَّذِینَ یَخْرُجُونَ، وَ یَکْثُرُ فِی اَلَّذِینَ یُقِیمُونَ، فَیَقُولُ اَلَّذِینَ یُقِیمُونَ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 اَلطَّاعُونُ، وَ یَقُولُ اَلَّذِینَ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أَقَمْنَا لَأَصَابَنَا کَمَا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عَلَی أَنْ یَخْرُجُوا جَمِیعاً مِنْ دِیَارِهِمْ إِذَا کَانَ وَقْتُ اَلطَّاعُونِ، فَخَرَجُوا بِأَجْمَعِهِمْ، فَنَزَلُوا عَلَی شَطِّ بَحْرٍ، فَلَمَّا وَضَعُوا رِحَالَهُمْ نَادَاهُمُ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جَمِیعاً، فَکَنَسَتْهُمُ اَلْمَارَّةُ عَنِ اَلطَّرِیقِ، فَبَقُوا بِذَلِکَ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بِهِمْ نَبِیٌّ مِنْ أَنْبِیَاءِ بَنِی إِسْرَائِیلَ یُقَالُ لَهُ إِرْمِیَا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یَا رَبِّ لَأَحْیَیْتَهُمْ فَیَعْمُرُوا بِلاَدَکَ، وَ یَلِدُوا عِبَادَکَ، وَ عَبَدُوکَ مَعَ مَنْ یَعْبُدُکَ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فَأَوْحَی اَللَّهُ </w:t>
      </w:r>
    </w:p>
    <w:p>
      <w:pPr>
        <w:pStyle w:val="BookText"/>
        <w:rPr/>
      </w:pPr>
      <w:r>
        <w:rPr>
          <w:rFonts w:ascii="Amiri" w:hAnsi="Amiri" w:eastAsia="Amiri" w:cs="Amiri"/>
          <w:color w:val="111111"/>
          <w:sz w:val="28"/>
          <w:sz w:val="28"/>
          <w:szCs w:val="28"/>
          <w:rtl w:val="true"/>
          <w:lang w:bidi="ar-SA"/>
        </w:rPr>
        <w:t>تَعَالَی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فَتُحِبُّ أَنْ أُحْیِیَهُمْ 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فَأَحْیَاهُمُ اَللَّهُ وَ بَعَثَهُمْ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مَاتُوا وَ رَجَعُوا إِلَی اَلدُّنْیَا،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مات مائة سنة و رجع إلی الدنیا و بقی فیها، ثم مات بأجله، و هو عزیر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قصة المختارین من قوم موسی لمیقات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أَنَّهُمْ لَمَّا سَمِعُوا کَلاَمَ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بِهِ </w:t>
      </w:r>
      <w:r>
        <w:rPr>
          <w:rStyle w:val="FootnoteAnchor"/>
          <w:rtl w:val="true"/>
        </w:rPr>
        <w:footnoteReference w:id="184"/>
      </w:r>
      <w:r>
        <w:rPr>
          <w:rFonts w:ascii="Amiri" w:hAnsi="Amiri" w:eastAsia="Amiri" w:cs="Amiri"/>
          <w:color w:val="111111"/>
          <w:sz w:val="28"/>
          <w:sz w:val="28"/>
          <w:szCs w:val="28"/>
          <w:rtl w:val="true"/>
          <w:lang w:bidi="ar-SA"/>
        </w:rPr>
        <w:t xml:space="preserve">حَتّٰی نَرَی اَللّٰهَ جَهْرَةً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فَأَخَذَتْهُمُ اَلصّٰاعِقَةُ بِظُلْمِهِمْ فَمَاتُوا، 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مَا أَقُولُ لِبَنِی إِسْرَائِیلَ إِذَا رَجَعْتُ إِلَیْهِمْ؟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فَأَحْیَاهُمُ اَللَّهُ لَهُ فَرَجَعُوا إِلَی اَلدُّنْیَا، فَأَکَلُوا وَ شَرِبُوا، وَ نَکَحُوا اَلنِّسَاءَ، وَ وُلِدَ لَهُمُ اَلْأَوْلاَدُ، ثُمَّ مَاتُوا بِآجَالِهِمْ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عزّ و جلّ لعیسی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تُخْرِجُ اَلْمَوْتیٰ بِإِذْنِی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فجمیع الموتی الذین أحیاهم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باذن اللّه رجعوا إلی الدنیا </w:t>
      </w:r>
    </w:p>
    <w:p>
      <w:pPr>
        <w:pStyle w:val="BookText"/>
        <w:rPr/>
      </w:pPr>
      <w:r>
        <w:rPr>
          <w:rFonts w:ascii="Amiri" w:hAnsi="Amiri" w:eastAsia="Amiri" w:cs="Amiri"/>
          <w:color w:val="111111"/>
          <w:sz w:val="28"/>
          <w:sz w:val="28"/>
          <w:szCs w:val="28"/>
          <w:rtl w:val="true"/>
          <w:lang w:bidi="ar-SA"/>
        </w:rPr>
        <w:t>و بقوا فیها، ثمّ ماتوا بآجالهم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الکهف لَبِثُوا فِی کَهْفِهِمْ ثَلاٰثَ مِائَةٍ سِنِینَ وَ اِزْدَادُوا تِسْعاً </w:t>
      </w:r>
      <w:r>
        <w:rPr>
          <w:rStyle w:val="FootnoteAnchor"/>
          <w:rtl w:val="true"/>
        </w:rPr>
        <w:footnoteReference w:id="186"/>
      </w:r>
      <w:r>
        <w:rPr>
          <w:rFonts w:ascii="Amiri" w:hAnsi="Amiri" w:eastAsia="Amiri" w:cs="Amiri"/>
          <w:color w:val="111111"/>
          <w:sz w:val="28"/>
          <w:sz w:val="28"/>
          <w:szCs w:val="28"/>
          <w:rtl w:val="true"/>
          <w:lang w:bidi="ar-SA"/>
        </w:rPr>
        <w:t>ثمّ بعثهم اللّه فرجعوا إلی الدنیا لِیَتَسٰاءَلُوا بَیْنَهُمْ ، و قصّتهم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کانوا موتی،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Style w:val="FootnoteAnchor"/>
          <w:rtl w:val="true"/>
        </w:rPr>
        <w:footnoteReference w:id="188"/>
      </w:r>
      <w:r>
        <w:rPr>
          <w:rFonts w:ascii="IRNazanin" w:hAnsi="IRNazanin" w:eastAsia="IRNazanin"/>
          <w:color w:val="111111"/>
          <w:sz w:val="28"/>
          <w:sz w:val="28"/>
          <w:szCs w:val="28"/>
          <w:rtl w:val="true"/>
          <w:lang w:bidi="fa-IR"/>
        </w:rPr>
        <w:t>و إن قالوا کذلک، فإنّهم کانوا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أنّ الرجعة کانت فی الامم السالفة،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هَذِهِ اَلْأُمَّةِ مِثْلُ مَا یَکُونُ فِی اَلْأُمَمِ اَلسَّالِفَةِ، حَذْوَ اَلنَّعْلِ بِالنَّعْلِ، وَ اَلْقُذَّةِ بِالْقُذَّةِ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هذا الأصل أن تکون فی هذه الأمّة 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مُخَالِفُونَا أَنَّهُ إِذَا خَرَجَ اَلْمَهْدِیُّ نَزَلَ عِیسَی اِبْنُ مَرْیَمَ فَصَلَّی خَلْفَهُ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نزوله إلی الأرض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الدنیا بعد موته </w:t>
      </w:r>
      <w:r>
        <w:rPr>
          <w:rStyle w:val="FootnoteAnchor"/>
          <w:rtl w:val="true"/>
        </w:rPr>
        <w:footnoteReference w:id="190"/>
      </w:r>
      <w:r>
        <w:rPr>
          <w:rFonts w:ascii="Amiri" w:hAnsi="Amiri" w:eastAsia="Amiri" w:cs="Amiri"/>
          <w:color w:val="111111"/>
          <w:sz w:val="28"/>
          <w:sz w:val="28"/>
          <w:szCs w:val="28"/>
          <w:rtl w:val="true"/>
          <w:lang w:bidi="ar-SA"/>
        </w:rPr>
        <w:t>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مُتَوَفِّیکَ وَ رٰافِعُکَ إِلَیَّ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فالیوم الذی یحشر فیه الجمیع </w:t>
      </w:r>
      <w:r>
        <w:rPr>
          <w:rStyle w:val="FootnoteAnchor"/>
          <w:rtl w:val="true"/>
        </w:rPr>
        <w:footnoteReference w:id="194"/>
      </w:r>
      <w:r>
        <w:rPr>
          <w:rFonts w:ascii="Amiri" w:hAnsi="Amiri" w:eastAsia="Amiri" w:cs="Amiri"/>
          <w:color w:val="111111"/>
          <w:sz w:val="28"/>
          <w:sz w:val="28"/>
          <w:szCs w:val="28"/>
          <w:rtl w:val="true"/>
          <w:lang w:bidi="ar-SA"/>
        </w:rPr>
        <w:t>غیر الیوم الذی یحشر فیه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Style w:val="FootnoteAnchor"/>
          <w:rtl w:val="true"/>
        </w:rPr>
        <w:footnoteReference w:id="195"/>
      </w:r>
      <w:r>
        <w:rPr>
          <w:rFonts w:ascii="IRNazanin" w:hAnsi="IRNazanin" w:eastAsia="IRNazanin"/>
          <w:color w:val="111111"/>
          <w:sz w:val="28"/>
          <w:sz w:val="28"/>
          <w:szCs w:val="28"/>
          <w:rtl w:val="true"/>
          <w:lang w:bidi="fa-IR"/>
        </w:rPr>
        <w:t xml:space="preserve">یعنی فی الرجعة ، و ذلک انّه یقول تعالی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w:t>
      </w:r>
      <w:r>
        <w:rPr>
          <w:rStyle w:val="FootnoteAnchor"/>
          <w:rtl w:val="true"/>
        </w:rPr>
        <w:footnoteReference w:id="197"/>
      </w:r>
      <w:r>
        <w:rPr>
          <w:rFonts w:ascii="IRNazanin" w:hAnsi="IRNazanin" w:eastAsia="IRNazanin"/>
          <w:color w:val="111111"/>
          <w:sz w:val="28"/>
          <w:sz w:val="28"/>
          <w:szCs w:val="28"/>
          <w:rtl w:val="true"/>
          <w:lang w:bidi="fa-IR"/>
        </w:rPr>
        <w:t>و التبیین یکون فی الدنیا لا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ساجرّد فی الرجعة کتابا ابیّن فیه کیفیّتها و الدلالة علی صحّة کونها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بالتناسخ باطل </w:t>
      </w:r>
      <w:r>
        <w:rPr>
          <w:rStyle w:val="FootnoteAnchor"/>
          <w:rtl w:val="true"/>
        </w:rPr>
        <w:footnoteReference w:id="198"/>
      </w:r>
      <w:r>
        <w:rPr>
          <w:rFonts w:ascii="IRNazanin" w:hAnsi="IRNazanin" w:eastAsia="IRNazanin"/>
          <w:color w:val="111111"/>
          <w:sz w:val="28"/>
          <w:sz w:val="28"/>
          <w:szCs w:val="28"/>
          <w:rtl w:val="true"/>
          <w:lang w:bidi="fa-IR"/>
        </w:rPr>
        <w:t xml:space="preserve">و من دان بالتناسخ فهو کافر، لأنّ فی التناسخ إبطال الجنّة و النّار </w:t>
      </w:r>
      <w:r>
        <w:rPr>
          <w:rFonts w:eastAsia="IRNazanin" w:cs="IRNazanin"/>
          <w:color w:val="111111"/>
          <w:sz w:val="28"/>
          <w:szCs w:val="28"/>
          <w:rtl w:val="true"/>
          <w:lang w:bidi="fa-IR"/>
        </w:rPr>
        <w:t xml:space="preserve">. </w:t>
      </w:r>
      <w:bookmarkStart w:id="66" w:name="pg20035_204891"/>
    </w:p>
    <w:p>
      <w:pPr>
        <w:pStyle w:val="Heading2"/>
        <w:numPr>
          <w:ilvl w:val="1"/>
          <w:numId w:val="1"/>
        </w:numPr>
        <w:rPr/>
      </w:pPr>
      <w:bookmarkStart w:id="67" w:name="__RefHeading___Toc709752_373438147"/>
      <w:bookmarkStart w:id="68" w:name="_Toc22"/>
      <w:bookmarkEnd w:id="66"/>
      <w:bookmarkEnd w:id="67"/>
      <w:r>
        <w:rPr>
          <w:rtl w:val="true"/>
        </w:rPr>
        <w:t>[</w:t>
      </w:r>
      <w:r>
        <w:rPr/>
        <w:t>19</w:t>
      </w:r>
      <w:r>
        <w:rPr>
          <w:rtl w:val="true"/>
        </w:rPr>
        <w:t>]</w:t>
      </w:r>
      <w:r>
        <w:rPr>
          <w:rtl w:val="true"/>
        </w:rPr>
        <w:t>باب الاعتقاد فی البعث بعد الموت</w:t>
      </w:r>
      <w:bookmarkEnd w:id="68"/>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البعث بعد الموت انّه حق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عَبْدِ اَلْمُطَّلِبِ ، إِنَّ اَلرَّائِدَ لاَ یَکْذِبُ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نَبِیّاً، لَتَمُوتُنَّ کَمَا تَنَامُونَ، وَ لَتُبْعَثُنَّ کَمَا تَسْتَیْقِظُونَ، وَ مَا بَعْدَ اَلْمَوْتِ دَارٌ إِلاَّ جَنَّةٌ أَوْ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جمیع الخلق و بعثهم علی اللّه عزّ و جلّ کخلق نفس واحدة و بعثها </w:t>
      </w:r>
      <w:r>
        <w:rPr>
          <w:rStyle w:val="FootnoteAnchor"/>
          <w:rtl w:val="true"/>
        </w:rPr>
        <w:footnoteReference w:id="199"/>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 </w:t>
      </w:r>
      <w:bookmarkStart w:id="69" w:name="pg20035_204892"/>
    </w:p>
    <w:p>
      <w:pPr>
        <w:pStyle w:val="Heading2"/>
        <w:numPr>
          <w:ilvl w:val="1"/>
          <w:numId w:val="1"/>
        </w:numPr>
        <w:rPr/>
      </w:pPr>
      <w:bookmarkStart w:id="70" w:name="__RefHeading___Toc709754_373438147"/>
      <w:bookmarkStart w:id="71" w:name="_Toc23"/>
      <w:bookmarkEnd w:id="69"/>
      <w:bookmarkEnd w:id="70"/>
      <w:r>
        <w:rPr>
          <w:rtl w:val="true"/>
        </w:rPr>
        <w:t>[</w:t>
      </w:r>
      <w:r>
        <w:rPr/>
        <w:t>20</w:t>
      </w:r>
      <w:r>
        <w:rPr>
          <w:rtl w:val="true"/>
        </w:rPr>
        <w:t>]</w:t>
      </w:r>
      <w:r>
        <w:rPr>
          <w:rtl w:val="true"/>
        </w:rPr>
        <w:t>باب الاعتقاد فی الحوض</w:t>
      </w:r>
      <w:bookmarkEnd w:id="71"/>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الحوض انّه حق، و انّ عرضه ما بین أیلة و صنعاء ، و هو حوض النبیّ صلّی اللّه علیه و آله و سلّم و انّ فیه من الأباریق عدد نجوم السماء </w:t>
      </w:r>
      <w:r>
        <w:rPr>
          <w:rStyle w:val="FootnoteAnchor"/>
          <w:rtl w:val="true"/>
        </w:rPr>
        <w:footnoteReference w:id="201"/>
      </w:r>
      <w:r>
        <w:rPr>
          <w:rFonts w:ascii="IRNazanin" w:hAnsi="IRNazanin" w:eastAsia="IRNazanin"/>
          <w:color w:val="111111"/>
          <w:sz w:val="28"/>
          <w:sz w:val="28"/>
          <w:szCs w:val="28"/>
          <w:rtl w:val="true"/>
          <w:lang w:bidi="fa-IR"/>
        </w:rPr>
        <w:t>و أنّ الوالی علیه یوم القیامة أمیر المؤمنین علی بن أبی طالب ، یسقی منه أولیاءه، و یذود عنه أعداءه، و من شرب منه شربة لم یظمأ بعدها أبدا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لَیَخْتَلِجَنَّ قَوْمٌ مِنْ أَصْحَابِی دُونِی وَ أَنَا عَلَی اَلْحَوْضِ ، فَیُؤْخَذُ بِهِمْ ذَاتَ اَلشِّمَالِ، فَأُنَادِی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72" w:name="pg20035_204893"/>
    </w:p>
    <w:p>
      <w:pPr>
        <w:pStyle w:val="Heading2"/>
        <w:numPr>
          <w:ilvl w:val="1"/>
          <w:numId w:val="1"/>
        </w:numPr>
        <w:rPr/>
      </w:pPr>
      <w:bookmarkStart w:id="73" w:name="__RefHeading___Toc709756_373438147"/>
      <w:bookmarkStart w:id="74" w:name="_Toc24"/>
      <w:bookmarkEnd w:id="72"/>
      <w:bookmarkEnd w:id="73"/>
      <w:r>
        <w:rPr>
          <w:rtl w:val="true"/>
        </w:rPr>
        <w:t>[</w:t>
      </w:r>
      <w:r>
        <w:rPr/>
        <w:t>21</w:t>
      </w:r>
      <w:r>
        <w:rPr>
          <w:rtl w:val="true"/>
        </w:rPr>
        <w:t>]</w:t>
      </w:r>
      <w:r>
        <w:rPr>
          <w:rtl w:val="true"/>
        </w:rPr>
        <w:t>باب الاعتقاد فی الشفاعة</w:t>
      </w:r>
      <w:bookmarkEnd w:id="74"/>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الشفاعة أنّها لمن ارتضی اللّه دینه من أهل الکبائر و الصغائر، فأمّا التائبون من الذنوب فغیر محتاجین إلی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یُؤْمِنْ بِشَفَاعَتِی فَلاَ أَنَالَهُ اَللَّهُ شَفَاعَتِی</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شَفِیعَ أَنْجَحُ مِنَ اَلتَّوْبَةِ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الشفاعة للأنبیاء و الأوصیاء و المؤمنین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المؤمنین من یشفع فی مثل ربیعة و مضر ، و أقل المؤمنین </w:t>
      </w:r>
      <w:r>
        <w:rPr>
          <w:rStyle w:val="FootnoteAnchor"/>
          <w:rtl w:val="true"/>
        </w:rPr>
        <w:footnoteReference w:id="205"/>
      </w:r>
      <w:r>
        <w:rPr>
          <w:rFonts w:ascii="IRNazanin" w:hAnsi="IRNazanin" w:eastAsia="IRNazanin"/>
          <w:color w:val="111111"/>
          <w:sz w:val="28"/>
          <w:sz w:val="28"/>
          <w:szCs w:val="28"/>
          <w:rtl w:val="true"/>
          <w:lang w:bidi="fa-IR"/>
        </w:rPr>
        <w:t>شفاعة من یشفع لثلاثین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الشفاعة لا تکون لأهل الشک و الشرک، و لا لأهل الکفر و الجحود، بل تکون للمذنبین من أهل التوحید</w:t>
      </w:r>
      <w:r>
        <w:rPr>
          <w:rFonts w:eastAsia="IRNazanin" w:cs="IRNazanin"/>
          <w:color w:val="111111"/>
          <w:sz w:val="28"/>
          <w:szCs w:val="28"/>
          <w:rtl w:val="true"/>
          <w:lang w:bidi="fa-IR"/>
        </w:rPr>
        <w:t xml:space="preserve">. </w:t>
      </w:r>
      <w:bookmarkStart w:id="75" w:name="pg20035_204894"/>
    </w:p>
    <w:p>
      <w:pPr>
        <w:pStyle w:val="Heading2"/>
        <w:numPr>
          <w:ilvl w:val="1"/>
          <w:numId w:val="1"/>
        </w:numPr>
        <w:rPr/>
      </w:pPr>
      <w:bookmarkStart w:id="76" w:name="__RefHeading___Toc709758_373438147"/>
      <w:bookmarkStart w:id="77" w:name="_Toc25"/>
      <w:bookmarkEnd w:id="75"/>
      <w:bookmarkEnd w:id="76"/>
      <w:r>
        <w:rPr>
          <w:rtl w:val="true"/>
        </w:rPr>
        <w:t>[</w:t>
      </w:r>
      <w:r>
        <w:rPr/>
        <w:t>22</w:t>
      </w:r>
      <w:r>
        <w:rPr>
          <w:rtl w:val="true"/>
        </w:rPr>
        <w:t>]</w:t>
      </w:r>
      <w:r>
        <w:rPr>
          <w:rtl w:val="true"/>
        </w:rPr>
        <w:t>باب الاعتقاد فی الوعد و الوعید</w:t>
      </w:r>
      <w:bookmarkEnd w:id="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الوعد و الوعید أنّ من وعده اللّه علی عمل ثوابا فهو منجزه له، و من أوعده </w:t>
      </w:r>
      <w:r>
        <w:rPr>
          <w:rStyle w:val="FootnoteAnchor"/>
          <w:rtl w:val="true"/>
        </w:rPr>
        <w:footnoteReference w:id="206"/>
      </w:r>
      <w:r>
        <w:rPr>
          <w:rFonts w:ascii="IRNazanin" w:hAnsi="IRNazanin" w:eastAsia="IRNazanin"/>
          <w:color w:val="111111"/>
          <w:sz w:val="28"/>
          <w:sz w:val="28"/>
          <w:szCs w:val="28"/>
          <w:rtl w:val="true"/>
          <w:lang w:bidi="fa-IR"/>
        </w:rPr>
        <w:t xml:space="preserve">علی عمل عقابا فهو فیه بالخیار، فإن عذّبه فبعدله، و إن عفا عنه فبفضله </w:t>
      </w:r>
      <w:r>
        <w:rPr>
          <w:rStyle w:val="FootnoteAnchor"/>
          <w:rtl w:val="true"/>
        </w:rPr>
        <w:footnoteReference w:id="207"/>
      </w:r>
      <w:r>
        <w:rPr>
          <w:rFonts w:ascii="Amiri" w:hAnsi="Amiri" w:eastAsia="Amiri" w:cs="Amiri"/>
          <w:color w:val="111111"/>
          <w:sz w:val="28"/>
          <w:sz w:val="28"/>
          <w:szCs w:val="28"/>
          <w:rtl w:val="true"/>
          <w:lang w:bidi="ar-SA"/>
        </w:rPr>
        <w:t xml:space="preserve">، و ما اللّه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78" w:name="pg20035_204895"/>
    </w:p>
    <w:p>
      <w:pPr>
        <w:pStyle w:val="Heading2"/>
        <w:numPr>
          <w:ilvl w:val="1"/>
          <w:numId w:val="1"/>
        </w:numPr>
        <w:rPr/>
      </w:pPr>
      <w:bookmarkStart w:id="79" w:name="__RefHeading___Toc709760_373438147"/>
      <w:bookmarkStart w:id="80" w:name="_Toc26"/>
      <w:bookmarkEnd w:id="78"/>
      <w:bookmarkEnd w:id="79"/>
      <w:r>
        <w:rPr>
          <w:rtl w:val="true"/>
        </w:rPr>
        <w:t>[</w:t>
      </w:r>
      <w:r>
        <w:rPr/>
        <w:t>23</w:t>
      </w:r>
      <w:r>
        <w:rPr>
          <w:rtl w:val="true"/>
        </w:rPr>
        <w:t>]</w:t>
      </w:r>
      <w:r>
        <w:rPr>
          <w:rtl w:val="true"/>
        </w:rPr>
        <w:t>باب الاعتقاد فیما یکتب علی العبد</w:t>
      </w:r>
      <w:bookmarkEnd w:id="80"/>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ذلک انّه ما من عبد إلاّ و له </w:t>
      </w:r>
      <w:r>
        <w:rPr>
          <w:rStyle w:val="FootnoteAnchor"/>
          <w:rtl w:val="true"/>
        </w:rPr>
        <w:footnoteReference w:id="209"/>
      </w:r>
      <w:r>
        <w:rPr>
          <w:rFonts w:ascii="IRNazanin" w:hAnsi="IRNazanin" w:eastAsia="IRNazanin"/>
          <w:color w:val="111111"/>
          <w:sz w:val="28"/>
          <w:sz w:val="28"/>
          <w:szCs w:val="28"/>
          <w:rtl w:val="true"/>
          <w:lang w:bidi="fa-IR"/>
        </w:rPr>
        <w:t xml:space="preserve">ملکان موکلان به یکتبان علیه </w:t>
      </w:r>
      <w:r>
        <w:rPr>
          <w:rStyle w:val="FootnoteAnchor"/>
          <w:rtl w:val="true"/>
        </w:rPr>
        <w:footnoteReference w:id="210"/>
      </w:r>
      <w:r>
        <w:rPr>
          <w:rFonts w:ascii="IRNazanin" w:hAnsi="IRNazanin" w:eastAsia="IRNazanin"/>
          <w:color w:val="111111"/>
          <w:sz w:val="28"/>
          <w:sz w:val="28"/>
          <w:szCs w:val="28"/>
          <w:rtl w:val="true"/>
          <w:lang w:bidi="fa-IR"/>
        </w:rPr>
        <w:t>جمیع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بحسنة و لم یعملها کتب له حسنة، فإن عملها کتب 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همّ بسیّئة لم تکتب علیه </w:t>
      </w:r>
      <w:r>
        <w:rPr>
          <w:rStyle w:val="FootnoteAnchor"/>
          <w:rtl w:val="true"/>
        </w:rPr>
        <w:footnoteReference w:id="211"/>
      </w:r>
      <w:r>
        <w:rPr>
          <w:rFonts w:ascii="IRNazanin" w:hAnsi="IRNazanin" w:eastAsia="IRNazanin"/>
          <w:color w:val="111111"/>
          <w:sz w:val="28"/>
          <w:sz w:val="28"/>
          <w:szCs w:val="28"/>
          <w:rtl w:val="true"/>
          <w:lang w:bidi="fa-IR"/>
        </w:rPr>
        <w:t xml:space="preserve">حتی یعملها، فإن عملها </w:t>
      </w:r>
      <w:r>
        <w:rPr>
          <w:rStyle w:val="FootnoteAnchor"/>
          <w:rtl w:val="true"/>
        </w:rPr>
        <w:footnoteReference w:id="212"/>
      </w:r>
      <w:r>
        <w:rPr>
          <w:rFonts w:ascii="IRNazanin" w:hAnsi="IRNazanin" w:eastAsia="IRNazanin"/>
          <w:color w:val="111111"/>
          <w:sz w:val="28"/>
          <w:sz w:val="28"/>
          <w:szCs w:val="28"/>
          <w:rtl w:val="true"/>
          <w:lang w:bidi="fa-IR"/>
        </w:rPr>
        <w:t>کتب علیه سیّئة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الملکان یکتبان علی العبد کل شیء حتی النفخ فی الرماد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وَ هُوَ یَتَکَلَّمُ بِفُضُولِ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هَذَا، إِنَّکَ تُمْلِی عَلَی مَلَکَیْکَ کِتَاباً إِلَی رَبِّکَ، فَتَکَلَّمْ بِمَا یَعْنِیکَ، وَ دَعْ مَا لاَ </w:t>
      </w:r>
      <w:bookmarkStart w:id="81" w:name="pg20035_204896"/>
    </w:p>
    <w:p>
      <w:pPr>
        <w:pStyle w:val="BookText"/>
        <w:rPr/>
      </w:pPr>
      <w:bookmarkEnd w:id="81"/>
      <w:r>
        <w:rPr>
          <w:rFonts w:ascii="Amiri" w:hAnsi="Amiri" w:eastAsia="Amiri" w:cs="Amiri"/>
          <w:color w:val="111111"/>
          <w:sz w:val="28"/>
          <w:sz w:val="28"/>
          <w:szCs w:val="28"/>
          <w:rtl w:val="true"/>
          <w:lang w:bidi="ar-SA"/>
        </w:rPr>
        <w:t>یَعْنِیکَ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اَلرَّجُلُ اَلْمُسْلِمُ یُکْتَبُ مُحْسِناً مَا دَامَ سَاکِتاً، فَإِذَا تَکَلَّمَ کُتِبَ إِمَّا مُحْسِناً أَوْ مُسِیئاً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الملکین من ابن آدم الترقوتان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الیمین یکتب الحسنات، و صاحب الشمال یکتب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 النهار یکتبان عمل العبد بالنهار، و ملکا اللیل یکتبان عمل اللیل</w:t>
      </w:r>
      <w:r>
        <w:rPr>
          <w:rFonts w:eastAsia="IRNazanin" w:cs="IRNazanin"/>
          <w:color w:val="111111"/>
          <w:sz w:val="28"/>
          <w:szCs w:val="28"/>
          <w:rtl w:val="true"/>
          <w:lang w:bidi="fa-IR"/>
        </w:rPr>
        <w:t>.</w:t>
      </w:r>
    </w:p>
    <w:p>
      <w:pPr>
        <w:pStyle w:val="Heading2"/>
        <w:numPr>
          <w:ilvl w:val="1"/>
          <w:numId w:val="1"/>
        </w:numPr>
        <w:rPr/>
      </w:pPr>
      <w:bookmarkStart w:id="82" w:name="__RefHeading___Toc709762_373438147"/>
      <w:bookmarkStart w:id="83" w:name="_Toc27"/>
      <w:bookmarkEnd w:id="82"/>
      <w:r>
        <w:rPr>
          <w:rtl w:val="true"/>
        </w:rPr>
        <w:t>[</w:t>
      </w:r>
      <w:r>
        <w:rPr/>
        <w:t>24</w:t>
      </w:r>
      <w:r>
        <w:rPr>
          <w:rtl w:val="true"/>
        </w:rPr>
        <w:t>]</w:t>
      </w:r>
      <w:r>
        <w:rPr>
          <w:rtl w:val="true"/>
        </w:rPr>
        <w:t>باب الاعتقاد فی العدل</w:t>
      </w:r>
      <w:bookmarkEnd w:id="83"/>
    </w:p>
    <w:p>
      <w:pPr>
        <w:pStyle w:val="BookText"/>
        <w:rPr/>
      </w:pPr>
      <w:r>
        <w:rPr>
          <w:rFonts w:ascii="Amiri" w:hAnsi="Amiri" w:eastAsia="Amiri" w:cs="Amiri"/>
          <w:color w:val="111111"/>
          <w:sz w:val="28"/>
          <w:sz w:val="28"/>
          <w:szCs w:val="28"/>
          <w:rtl w:val="true"/>
          <w:lang w:bidi="ar-SA"/>
        </w:rPr>
        <w:t xml:space="preserve">قال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انّ اللّه تبارک و تعالی أمرنا بالعدل، و عاملنا بما هو فوقه، و هو التفضّل، و ذلک انّه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w:t>
      </w:r>
      <w:r>
        <w:rPr>
          <w:rStyle w:val="FootnoteAnchor"/>
          <w:rtl w:val="true"/>
        </w:rPr>
        <w:footnoteReference w:id="219"/>
      </w:r>
      <w:r>
        <w:rPr>
          <w:rFonts w:ascii="IRNazanin" w:hAnsi="IRNazanin" w:eastAsia="IRNazanin"/>
          <w:color w:val="111111"/>
          <w:sz w:val="28"/>
          <w:sz w:val="28"/>
          <w:szCs w:val="28"/>
          <w:rtl w:val="true"/>
          <w:lang w:bidi="fa-IR"/>
        </w:rPr>
        <w:t>هو أن یثیب علی الحسنة، و یعاقب علی السیّئة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یَدْخُلُ اَلْجَنَّةَ رَجُلٌ </w:t>
      </w:r>
      <w:r>
        <w:rPr>
          <w:rStyle w:val="FootnoteAnchor"/>
          <w:rtl w:val="true"/>
        </w:rPr>
        <w:footnoteReference w:id="220"/>
      </w:r>
      <w:r>
        <w:rPr>
          <w:rFonts w:ascii="Amiri" w:hAnsi="Amiri" w:eastAsia="Amiri" w:cs="Amiri"/>
          <w:color w:val="111111"/>
          <w:sz w:val="28"/>
          <w:sz w:val="28"/>
          <w:szCs w:val="28"/>
          <w:rtl w:val="true"/>
          <w:lang w:bidi="ar-SA"/>
        </w:rPr>
        <w:t>إِلاَّ بِرَحْمَةِ اَللَّهِ عَزَّ وَ جَلَّ</w:t>
      </w:r>
      <w:r>
        <w:rPr>
          <w:rFonts w:eastAsia="Amiri" w:cs="Amiri" w:ascii="Amiri" w:hAnsi="Amiri"/>
          <w:color w:val="111111"/>
          <w:sz w:val="28"/>
          <w:szCs w:val="28"/>
          <w:rtl w:val="true"/>
          <w:lang w:bidi="ar-SA"/>
        </w:rPr>
        <w:t xml:space="preserve">» . </w:t>
      </w:r>
      <w:bookmarkStart w:id="84" w:name="pg20035_204897"/>
    </w:p>
    <w:p>
      <w:pPr>
        <w:pStyle w:val="Heading2"/>
        <w:numPr>
          <w:ilvl w:val="1"/>
          <w:numId w:val="1"/>
        </w:numPr>
        <w:rPr/>
      </w:pPr>
      <w:bookmarkStart w:id="85" w:name="__RefHeading___Toc709764_373438147"/>
      <w:bookmarkStart w:id="86" w:name="_Toc28"/>
      <w:bookmarkEnd w:id="84"/>
      <w:bookmarkEnd w:id="85"/>
      <w:r>
        <w:rPr>
          <w:rtl w:val="true"/>
        </w:rPr>
        <w:t>[</w:t>
      </w:r>
      <w:r>
        <w:rPr/>
        <w:t>25</w:t>
      </w:r>
      <w:r>
        <w:rPr>
          <w:rtl w:val="true"/>
        </w:rPr>
        <w:t>]</w:t>
      </w:r>
      <w:r>
        <w:rPr>
          <w:rtl w:val="true"/>
        </w:rPr>
        <w:t>باب الاعتقاد فی الأعراف</w:t>
      </w:r>
      <w:bookmarkEnd w:id="86"/>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الأعراف أنّه سور بین الجنّة و النّار ، علیه رِجٰالٌ یَعْرِفُونَ کُلاًّ بِسِیمٰاهُمْ </w:t>
      </w:r>
      <w:r>
        <w:rPr>
          <w:rStyle w:val="FootnoteAnchor"/>
          <w:rtl w:val="true"/>
        </w:rPr>
        <w:footnoteReference w:id="221"/>
      </w:r>
      <w:r>
        <w:rPr>
          <w:rFonts w:ascii="Amiri" w:hAnsi="Amiri" w:eastAsia="Amiri" w:cs="Amiri"/>
          <w:color w:val="111111"/>
          <w:sz w:val="28"/>
          <w:sz w:val="28"/>
          <w:szCs w:val="28"/>
          <w:rtl w:val="true"/>
          <w:lang w:bidi="ar-SA"/>
        </w:rPr>
        <w:t xml:space="preserve">و الرجال هم النبیّ و أوصیاؤه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إلاّ من عرفهم و عرفوه، و لا یدخل النّار إلاّ من أنکرهم و 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الأعراف المرجون لِأَمْرِ اَللّٰهِ، إِمّٰا یُعَذِّبُهُمْ، وَ إِمّٰا یَتُوبُ عَلَیْهِمْ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709766_373438147"/>
      <w:bookmarkStart w:id="88" w:name="_Toc29"/>
      <w:bookmarkEnd w:id="87"/>
      <w:r>
        <w:rPr>
          <w:rtl w:val="true"/>
        </w:rPr>
        <w:t>[</w:t>
      </w:r>
      <w:r>
        <w:rPr/>
        <w:t>26</w:t>
      </w:r>
      <w:r>
        <w:rPr>
          <w:rtl w:val="true"/>
        </w:rPr>
        <w:t>]</w:t>
      </w:r>
      <w:r>
        <w:rPr>
          <w:rtl w:val="true"/>
        </w:rPr>
        <w:t>باب الاعتقاد فی الصراط</w:t>
      </w:r>
      <w:bookmarkEnd w:id="88"/>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الصراط أنّه حق، و أنّه جسر جهنّم ، و أنّ علیه ممرّ جمیع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فی وجه آخر اسم حجج اللّه، فمن عرفهم فی الدنیا و أطاعهم أعطاه اللّه جوازا علی الصراط الذی هو جسر جهنّم یوم القیامة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صَلَّی اَللَّهُ عَلَیْهِ وَ آلِهِ وَ سَلَّمَ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إِذَا کَانَ یَوْمُ اَلْقِیَامَةِ أَقْعُدُ أَنَا وَ أَنْتَ وَ جَبْرَئِیلُ عَلَی اَلصِّرَاطِ ، فَلاَ یَجُوزُ عَلَی اَلصِّرَاطِ إِلاَّ مَنْ کَانَتْ مَعَهُ بَرَاءَةٌ بِوَلاَیَتِکَ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89" w:name="pg20035_204898"/>
    </w:p>
    <w:p>
      <w:pPr>
        <w:pStyle w:val="Heading2"/>
        <w:numPr>
          <w:ilvl w:val="1"/>
          <w:numId w:val="1"/>
        </w:numPr>
        <w:rPr/>
      </w:pPr>
      <w:bookmarkStart w:id="90" w:name="__RefHeading___Toc709768_373438147"/>
      <w:bookmarkStart w:id="91" w:name="_Toc30"/>
      <w:bookmarkEnd w:id="89"/>
      <w:bookmarkEnd w:id="90"/>
      <w:r>
        <w:rPr>
          <w:rtl w:val="true"/>
        </w:rPr>
        <w:t>[</w:t>
      </w:r>
      <w:r>
        <w:rPr/>
        <w:t>27</w:t>
      </w:r>
      <w:r>
        <w:rPr>
          <w:rtl w:val="true"/>
        </w:rPr>
        <w:t>]</w:t>
      </w:r>
      <w:r>
        <w:rPr>
          <w:rtl w:val="true"/>
        </w:rPr>
        <w:t>باب الاعتقاد فی العقبات التی علی طریق المحشر</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ذلک أنّ هذه العقبات اسم کل عقبة منها علی حدة اسم فرض </w:t>
      </w:r>
      <w:r>
        <w:rPr>
          <w:rStyle w:val="FootnoteAnchor"/>
          <w:rtl w:val="true"/>
        </w:rPr>
        <w:footnoteReference w:id="225"/>
      </w:r>
      <w:r>
        <w:rPr>
          <w:rFonts w:ascii="IRNazanin" w:hAnsi="IRNazanin" w:eastAsia="IRNazanin"/>
          <w:color w:val="111111"/>
          <w:sz w:val="28"/>
          <w:sz w:val="28"/>
          <w:szCs w:val="28"/>
          <w:rtl w:val="true"/>
          <w:lang w:bidi="fa-IR"/>
        </w:rPr>
        <w:t xml:space="preserve">، أو أمر، أو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انتهی الإنسان إلی عقبة اسمها فرض، و کان قد قصّر فی ذلک الفرض، حبس عندها و طولب بحق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 منه بعمل صالح قدّمه </w:t>
      </w:r>
      <w:r>
        <w:rPr>
          <w:rStyle w:val="FootnoteAnchor"/>
          <w:rtl w:val="true"/>
        </w:rPr>
        <w:footnoteReference w:id="226"/>
      </w:r>
      <w:r>
        <w:rPr>
          <w:rFonts w:ascii="IRNazanin" w:hAnsi="IRNazanin" w:eastAsia="IRNazanin"/>
          <w:color w:val="111111"/>
          <w:sz w:val="28"/>
          <w:sz w:val="28"/>
          <w:szCs w:val="28"/>
          <w:rtl w:val="true"/>
          <w:lang w:bidi="fa-IR"/>
        </w:rPr>
        <w:t>أو برحمة تدارکه، نجا منها إلی عقبة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یدفع من عقبة إلی عقبة، و یحبس عند کل عقبة، فیسأل عمّا قصر فیه من معنی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سلم من جمیعها انتهی إلی دار البقاء، فحیی حیاة لا موت فیها أبدا، و سعد سعادة لا شقاوة معها أبدا، و سکن </w:t>
      </w:r>
      <w:r>
        <w:rPr>
          <w:rStyle w:val="FootnoteAnchor"/>
          <w:rtl w:val="true"/>
        </w:rPr>
        <w:footnoteReference w:id="227"/>
      </w:r>
      <w:r>
        <w:rPr>
          <w:rFonts w:ascii="Amiri" w:hAnsi="Amiri" w:eastAsia="Amiri" w:cs="Amiri"/>
          <w:color w:val="111111"/>
          <w:sz w:val="28"/>
          <w:sz w:val="28"/>
          <w:szCs w:val="28"/>
          <w:rtl w:val="true"/>
          <w:lang w:bidi="ar-SA"/>
        </w:rPr>
        <w:t>جوار اللّه مع أنبیائه و حججه وَ اَلصِّدِّیقِینَ وَ اَلشُّهَدٰاءِ وَ اَلصّٰالِحِینَ من عباده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إن حبس علی عقبة فطولب بحق قصّر فیه، فلم ینجه عمل صالح قدّمه، و لا أدرکته من اللّه عزّ و جلّ رحمة، زلت به قدمه عن العقبة فهوی فی </w:t>
      </w:r>
      <w:r>
        <w:rPr>
          <w:rStyle w:val="FootnoteAnchor"/>
          <w:rtl w:val="true"/>
        </w:rPr>
        <w:footnoteReference w:id="228"/>
      </w:r>
      <w:r>
        <w:rPr>
          <w:rFonts w:ascii="IRNazanin" w:hAnsi="IRNazanin" w:eastAsia="IRNazanin"/>
          <w:color w:val="111111"/>
          <w:sz w:val="28"/>
          <w:sz w:val="28"/>
          <w:szCs w:val="28"/>
          <w:rtl w:val="true"/>
          <w:lang w:bidi="fa-IR"/>
        </w:rPr>
        <w:t>جهنّم 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العقبات کلّها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 یوقف جمیع الخلائق عندها فیسألون عن ولایة أمیر المؤمنین 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أتی بها نجا و جاز </w:t>
      </w:r>
      <w:r>
        <w:rPr>
          <w:rStyle w:val="FootnoteAnchor"/>
          <w:rtl w:val="true"/>
        </w:rPr>
        <w:footnoteReference w:id="229"/>
      </w:r>
      <w:r>
        <w:rPr>
          <w:rFonts w:ascii="IRNazanin" w:hAnsi="IRNazanin" w:eastAsia="IRNazanin"/>
          <w:color w:val="111111"/>
          <w:sz w:val="28"/>
          <w:sz w:val="28"/>
          <w:szCs w:val="28"/>
          <w:rtl w:val="true"/>
          <w:lang w:bidi="fa-IR"/>
        </w:rPr>
        <w:t xml:space="preserve">، و من لم یأت بها بقی فهوی </w:t>
      </w:r>
      <w:r>
        <w:rPr>
          <w:rStyle w:val="FootnoteAnchor"/>
          <w:rtl w:val="true"/>
        </w:rPr>
        <w:footnoteReference w:id="230"/>
      </w:r>
      <w:r>
        <w:rPr>
          <w:rFonts w:ascii="Amiri" w:hAnsi="Amiri" w:eastAsia="Amiri" w:cs="Amiri"/>
          <w:color w:val="111111"/>
          <w:sz w:val="28"/>
          <w:sz w:val="28"/>
          <w:szCs w:val="28"/>
          <w:rtl w:val="true"/>
          <w:lang w:bidi="ar-SA"/>
        </w:rPr>
        <w:t>،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المرصاد ، و ذلک قوله تعالی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عِزَّتِی وَ جَلاَلِی لاَ یَجُوزُنِی ظُلْمُ 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عقبة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 کل فرض أو أمر أو نهی عقبة یحبس عندها العبد فیسأل</w:t>
      </w:r>
      <w:r>
        <w:rPr>
          <w:rFonts w:eastAsia="Amiri" w:cs="Amiri" w:ascii="Amiri" w:hAnsi="Amiri"/>
          <w:color w:val="111111"/>
          <w:sz w:val="28"/>
          <w:szCs w:val="28"/>
          <w:rtl w:val="true"/>
          <w:lang w:bidi="ar-SA"/>
        </w:rPr>
        <w:t xml:space="preserve">. </w:t>
      </w:r>
      <w:bookmarkStart w:id="92" w:name="pg20035_204900"/>
    </w:p>
    <w:p>
      <w:pPr>
        <w:pStyle w:val="Heading2"/>
        <w:numPr>
          <w:ilvl w:val="1"/>
          <w:numId w:val="1"/>
        </w:numPr>
        <w:rPr/>
      </w:pPr>
      <w:bookmarkStart w:id="93" w:name="__RefHeading___Toc709770_373438147"/>
      <w:bookmarkStart w:id="94" w:name="_Toc31"/>
      <w:bookmarkEnd w:id="92"/>
      <w:bookmarkEnd w:id="93"/>
      <w:r>
        <w:rPr>
          <w:rtl w:val="true"/>
        </w:rPr>
        <w:t>[</w:t>
      </w:r>
      <w:r>
        <w:rPr/>
        <w:t>28</w:t>
      </w:r>
      <w:r>
        <w:rPr>
          <w:rtl w:val="true"/>
        </w:rPr>
        <w:t>]</w:t>
      </w:r>
      <w:r>
        <w:rPr>
          <w:rtl w:val="true"/>
        </w:rPr>
        <w:t>باب الاعتقاد فی الحساب و المیزان</w:t>
      </w:r>
      <w:bookmarkEnd w:id="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فیهما أنّهما حق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یتولاّه اللّه تعالی، و منه ما یتولاّه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فحساب الأنبیاء و الرسل </w:t>
      </w:r>
      <w:r>
        <w:rPr>
          <w:rStyle w:val="FootnoteAnchor"/>
          <w:rtl w:val="true"/>
        </w:rPr>
        <w:footnoteReference w:id="236"/>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یتولاّه اللّه عزّ و جلّ، و یتولّی کل نبیّ حساب أوصیائه، و یتولّی الأوصیاء حساب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هو الشهید علی الأنبیاء و الرسل، و هم الشهداء علی الأوصیاء، و الأئمّة شهداء علی الناس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240"/>
      </w:r>
      <w:r>
        <w:rPr>
          <w:rFonts w:ascii="Amiri" w:hAnsi="Amiri" w:eastAsia="Amiri" w:cs="Amiri"/>
          <w:color w:val="111111"/>
          <w:sz w:val="28"/>
          <w:sz w:val="28"/>
          <w:szCs w:val="28"/>
          <w:rtl w:val="true"/>
          <w:lang w:bidi="ar-SA"/>
        </w:rPr>
        <w:t xml:space="preserve">و الشاهد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ثُمَّ إِنَّ عَلَیْنٰا حِسٰابَهُمْ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اَلْمَوَازِینُ اَلْأَنْبِیَاءُ وَ اَلْأَوْصِیَاءُ</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الخلق من یدخل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السؤال فهو واقع علی جمیع الخلق،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Style w:val="FootnoteAnchor"/>
          <w:rtl w:val="true"/>
        </w:rPr>
        <w:footnoteReference w:id="243"/>
      </w:r>
      <w:r>
        <w:rPr>
          <w:rFonts w:ascii="IRNazanin" w:hAnsi="IRNazanin" w:eastAsia="IRNazanin"/>
          <w:color w:val="111111"/>
          <w:sz w:val="28"/>
          <w:sz w:val="28"/>
          <w:szCs w:val="28"/>
          <w:rtl w:val="true"/>
          <w:lang w:bidi="fa-IR"/>
        </w:rPr>
        <w:t>یعنی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الذنب </w:t>
      </w:r>
      <w:r>
        <w:rPr>
          <w:rStyle w:val="FootnoteAnchor"/>
          <w:rtl w:val="true"/>
        </w:rPr>
        <w:footnoteReference w:id="244"/>
      </w:r>
      <w:r>
        <w:rPr>
          <w:rFonts w:ascii="IRNazanin" w:hAnsi="IRNazanin" w:eastAsia="IRNazanin"/>
          <w:color w:val="111111"/>
          <w:sz w:val="28"/>
          <w:sz w:val="28"/>
          <w:szCs w:val="28"/>
          <w:rtl w:val="true"/>
          <w:lang w:bidi="fa-IR"/>
        </w:rPr>
        <w:t xml:space="preserve">فلا یسأل عنه </w:t>
      </w:r>
      <w:r>
        <w:rPr>
          <w:rStyle w:val="FootnoteAnchor"/>
          <w:rtl w:val="true"/>
        </w:rPr>
        <w:footnoteReference w:id="245"/>
      </w:r>
      <w:r>
        <w:rPr>
          <w:rFonts w:ascii="Amiri" w:hAnsi="Amiri" w:eastAsia="Amiri" w:cs="Amiri"/>
          <w:color w:val="111111"/>
          <w:sz w:val="28"/>
          <w:sz w:val="28"/>
          <w:szCs w:val="28"/>
          <w:rtl w:val="true"/>
          <w:lang w:bidi="ar-SA"/>
        </w:rPr>
        <w:t>إلاّ من یحاسب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Style w:val="FootnoteAnchor"/>
          <w:rtl w:val="true"/>
        </w:rPr>
        <w:footnoteReference w:id="246"/>
      </w:r>
      <w:r>
        <w:rPr>
          <w:rFonts w:ascii="IRNazanin" w:hAnsi="IRNazanin" w:eastAsia="IRNazanin"/>
          <w:color w:val="111111"/>
          <w:sz w:val="28"/>
          <w:sz w:val="28"/>
          <w:szCs w:val="28"/>
          <w:rtl w:val="true"/>
          <w:lang w:bidi="fa-IR"/>
        </w:rPr>
        <w:t xml:space="preserve">یعنی من شیعة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دون غیرهم، کما ورد فی التفسیر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محاسب معذّب و لو بطول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ینجو من النّار ، و لا یدخل الجنّة أحد بعمله </w:t>
      </w:r>
      <w:r>
        <w:rPr>
          <w:rStyle w:val="FootnoteAnchor"/>
          <w:rtl w:val="true"/>
        </w:rPr>
        <w:footnoteReference w:id="249"/>
      </w:r>
      <w:r>
        <w:rPr>
          <w:rFonts w:ascii="Amiri" w:hAnsi="Amiri" w:eastAsia="Amiri" w:cs="Amiri"/>
          <w:color w:val="111111"/>
          <w:sz w:val="28"/>
          <w:sz w:val="28"/>
          <w:szCs w:val="28"/>
          <w:rtl w:val="true"/>
          <w:lang w:bidi="ar-SA"/>
        </w:rPr>
        <w:t xml:space="preserve">، إلاّ برحمة اللّه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یخاطب عباده من الأوّلین و الآخرین بمجمل حساب عملهم مخاطبة واحدة، یسمع منها کل واحد قضیته دون غیرها، و یظن أنّه المخاطب دون غیره، لا تشغله تعالی مخاطبة عن مخاطبة، و یفرغ من حساب الأوّلین و الآخرین فی مقدار </w:t>
      </w:r>
      <w:r>
        <w:rPr>
          <w:rStyle w:val="FootnoteAnchor"/>
          <w:rtl w:val="true"/>
        </w:rPr>
        <w:footnoteReference w:id="251"/>
      </w:r>
      <w:r>
        <w:rPr>
          <w:rFonts w:ascii="Amiri" w:hAnsi="Amiri" w:eastAsia="Amiri" w:cs="Amiri"/>
          <w:color w:val="111111"/>
          <w:sz w:val="28"/>
          <w:sz w:val="28"/>
          <w:szCs w:val="28"/>
          <w:rtl w:val="true"/>
          <w:lang w:bidi="ar-SA"/>
        </w:rPr>
        <w:t>ساعة من ساعات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اللّه لکل إنسان کِتٰاباً یَلْقٰاهُ مَنْشُوراً ، ینطق علیه بجمیع أعماله، لاٰ یُغٰادِرُ صَغِیرَةً وَ لاٰ کَبِیرَةً إِلاّٰ أَحْصٰاهٰا </w:t>
      </w:r>
      <w:r>
        <w:rPr>
          <w:rStyle w:val="FootnoteAnchor"/>
          <w:rtl w:val="true"/>
        </w:rPr>
        <w:footnoteReference w:id="252"/>
      </w:r>
      <w:r>
        <w:rPr>
          <w:rFonts w:ascii="IRNazanin" w:hAnsi="IRNazanin" w:eastAsia="IRNazanin"/>
          <w:color w:val="111111"/>
          <w:sz w:val="28"/>
          <w:sz w:val="28"/>
          <w:szCs w:val="28"/>
          <w:rtl w:val="true"/>
          <w:lang w:bidi="fa-IR"/>
        </w:rPr>
        <w:t xml:space="preserve">فیجعله اللّه حسیب نفسه </w:t>
      </w:r>
      <w:r>
        <w:rPr>
          <w:rStyle w:val="FootnoteAnchor"/>
          <w:rtl w:val="true"/>
        </w:rPr>
        <w:footnoteReference w:id="253"/>
      </w:r>
      <w:r>
        <w:rPr>
          <w:rFonts w:ascii="Amiri" w:hAnsi="Amiri" w:eastAsia="Amiri" w:cs="Amiri"/>
          <w:color w:val="111111"/>
          <w:sz w:val="28"/>
          <w:sz w:val="28"/>
          <w:szCs w:val="28"/>
          <w:rtl w:val="true"/>
          <w:lang w:bidi="ar-SA"/>
        </w:rPr>
        <w:t>و الحاکم علیها، بأن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یختم اللّه تبارک و تعالی علی أفواههم </w:t>
      </w:r>
      <w:r>
        <w:rPr>
          <w:rStyle w:val="FootnoteAnchor"/>
          <w:rtl w:val="true"/>
        </w:rPr>
        <w:footnoteReference w:id="255"/>
      </w:r>
      <w:r>
        <w:rPr>
          <w:rFonts w:ascii="Amiri" w:hAnsi="Amiri" w:eastAsia="Amiri" w:cs="Amiri"/>
          <w:color w:val="111111"/>
          <w:sz w:val="28"/>
          <w:sz w:val="28"/>
          <w:szCs w:val="28"/>
          <w:rtl w:val="true"/>
          <w:lang w:bidi="ar-SA"/>
        </w:rPr>
        <w:t xml:space="preserve">، و تشهد أیدیهم و أرجلهم و جمیع جوارحهم بِمٰا کٰانُوا یَعْمَلُونَ </w:t>
      </w:r>
      <w:r>
        <w:rPr>
          <w:rStyle w:val="FootnoteAnchor"/>
          <w:rtl w:val="true"/>
        </w:rPr>
        <w:footnoteReference w:id="256"/>
      </w:r>
      <w:r>
        <w:rPr>
          <w:rFonts w:ascii="Amiri" w:hAnsi="Amiri" w:eastAsia="Amiri" w:cs="Amiri"/>
          <w:color w:val="111111"/>
          <w:sz w:val="28"/>
          <w:sz w:val="28"/>
          <w:szCs w:val="28"/>
          <w:rtl w:val="true"/>
          <w:lang w:bidi="ar-SA"/>
        </w:rPr>
        <w:t xml:space="preserve">، وَ قٰالُوا لِجُلُودِهِمْ لِمَ شَهِدْتُمْ عَلَیْنٰا قٰالُوا أَنْطَقَنَا اَللّٰهُ اَلَّذِی أَنْطَقَ کُلَّ شَیْءٍ وَ هُوَ خَلَقَکُمْ أَوَّلَ مَرَّةٍ وَ إِلَیْهِ تُرْجَعُونَ وَ مٰا کُنْتُمْ تَسْتَتِرُونَ أَنْ یَشْهَدَ عَلَیْکُمْ سَمْعُکُمْ وَ لاٰ أَبْصٰارُکُمْ وَ لاٰ جُلُودُکُمْ وَ لٰکِنْ ظَنَنْتُمْ أَنَّ اَللّٰهَ لاٰ یَعْلَمُ کَثِیراً مِمّٰا تَعْمَلُونَ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ساجرد کیفیّة وقوع الحساب فی کتاب حقیقة المعاد </w:t>
      </w:r>
      <w:r>
        <w:rPr>
          <w:rFonts w:eastAsia="IRNazanin" w:cs="IRNazanin"/>
          <w:color w:val="111111"/>
          <w:sz w:val="28"/>
          <w:szCs w:val="28"/>
          <w:rtl w:val="true"/>
          <w:lang w:bidi="fa-IR"/>
        </w:rPr>
        <w:t xml:space="preserve">. </w:t>
      </w:r>
      <w:bookmarkStart w:id="95" w:name="pg20035_204903"/>
    </w:p>
    <w:p>
      <w:pPr>
        <w:pStyle w:val="Heading2"/>
        <w:numPr>
          <w:ilvl w:val="1"/>
          <w:numId w:val="1"/>
        </w:numPr>
        <w:rPr/>
      </w:pPr>
      <w:bookmarkStart w:id="96" w:name="__RefHeading___Toc709772_373438147"/>
      <w:bookmarkStart w:id="97" w:name="_Toc32"/>
      <w:bookmarkEnd w:id="95"/>
      <w:bookmarkEnd w:id="96"/>
      <w:r>
        <w:rPr>
          <w:rtl w:val="true"/>
        </w:rPr>
        <w:t>[</w:t>
      </w:r>
      <w:r>
        <w:rPr/>
        <w:t>29</w:t>
      </w:r>
      <w:r>
        <w:rPr>
          <w:rtl w:val="true"/>
        </w:rPr>
        <w:t>]</w:t>
      </w:r>
      <w:r>
        <w:rPr>
          <w:rtl w:val="true"/>
        </w:rPr>
        <w:t>باب الاعتقاد فی الجنّة و النّار</w:t>
      </w:r>
      <w:bookmarkEnd w:id="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الجنّة أنّها دار البقاء و دار السلامة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موت فیها، و لا هرم، و لا سقم، و لا مرض، و لا آفة، و لا زوال </w:t>
      </w:r>
      <w:r>
        <w:rPr>
          <w:rStyle w:val="FootnoteAnchor"/>
          <w:rtl w:val="true"/>
        </w:rPr>
        <w:footnoteReference w:id="259"/>
      </w:r>
      <w:r>
        <w:rPr>
          <w:rFonts w:ascii="IRNazanin" w:hAnsi="IRNazanin" w:eastAsia="IRNazanin"/>
          <w:color w:val="111111"/>
          <w:sz w:val="28"/>
          <w:sz w:val="28"/>
          <w:szCs w:val="28"/>
          <w:rtl w:val="true"/>
          <w:lang w:bidi="fa-IR"/>
        </w:rPr>
        <w:t>، و لا زمانة، و لا غمّ، و لا همّ، و لا حاجة، و لا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دار الغنی، و السعادة، و دار المقامة و الکرامة، لا یمس أهلها فیها نصب، و لا یمسّهم فیها لغوب </w:t>
      </w:r>
      <w:r>
        <w:rPr>
          <w:rStyle w:val="FootnoteAnchor"/>
          <w:rtl w:val="true"/>
        </w:rPr>
        <w:footnoteReference w:id="260"/>
      </w:r>
      <w:r>
        <w:rPr>
          <w:rFonts w:ascii="IRNazanin" w:hAnsi="IRNazanin" w:eastAsia="IRNazanin"/>
          <w:color w:val="111111"/>
          <w:sz w:val="28"/>
          <w:sz w:val="28"/>
          <w:szCs w:val="28"/>
          <w:rtl w:val="true"/>
          <w:lang w:bidi="fa-IR"/>
        </w:rPr>
        <w:t xml:space="preserve">لهم فیها ما تشتهی الأنفس و تلذ الأعین، و هم فیها خالدون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دار أهلها جیران اللّه، و أولیاؤه، و أحبّاؤه، و أهل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أنواع </w:t>
      </w:r>
      <w:r>
        <w:rPr>
          <w:rStyle w:val="FootnoteAnchor"/>
          <w:rtl w:val="true"/>
        </w:rPr>
        <w:footnoteReference w:id="262"/>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المتنعّمون بتقدیس اللّه و تسبیحه و تکبیره فی جملة ملائکته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المتنعّمون بأنواع المآکل و المشارب و الفواکه و الأرائک و الحور العین، و استخدام الولدان المخلدین، و الجلوس علی النمارق و الزرابی، و لباس السندس و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 انّما یتلذّذ بما یشتهی و یرید </w:t>
      </w:r>
      <w:r>
        <w:rPr>
          <w:rStyle w:val="FootnoteAnchor"/>
          <w:rtl w:val="true"/>
        </w:rPr>
        <w:footnoteReference w:id="263"/>
      </w:r>
      <w:r>
        <w:rPr>
          <w:rFonts w:ascii="IRNazanin" w:hAnsi="IRNazanin" w:eastAsia="IRNazanin"/>
          <w:color w:val="111111"/>
          <w:sz w:val="28"/>
          <w:sz w:val="28"/>
          <w:szCs w:val="28"/>
          <w:rtl w:val="true"/>
          <w:lang w:bidi="fa-IR"/>
        </w:rPr>
        <w:t xml:space="preserve">علی حسب ما تعلّقت علیه </w:t>
      </w:r>
      <w:r>
        <w:rPr>
          <w:rStyle w:val="FootnoteAnchor"/>
          <w:rtl w:val="true"/>
        </w:rPr>
        <w:footnoteReference w:id="264"/>
      </w:r>
      <w:r>
        <w:rPr>
          <w:rFonts w:ascii="IRNazanin" w:hAnsi="IRNazanin" w:eastAsia="IRNazanin"/>
          <w:color w:val="111111"/>
          <w:sz w:val="28"/>
          <w:sz w:val="28"/>
          <w:szCs w:val="28"/>
          <w:rtl w:val="true"/>
          <w:lang w:bidi="fa-IR"/>
        </w:rPr>
        <w:t xml:space="preserve">همّته، و یعطی ما عبد </w:t>
      </w:r>
      <w:r>
        <w:rPr>
          <w:rStyle w:val="FootnoteAnchor"/>
          <w:rtl w:val="true"/>
        </w:rPr>
        <w:footnoteReference w:id="265"/>
      </w:r>
      <w:r>
        <w:rPr>
          <w:rFonts w:ascii="IRNazanin" w:hAnsi="IRNazanin" w:eastAsia="IRNazanin"/>
          <w:color w:val="111111"/>
          <w:sz w:val="28"/>
          <w:sz w:val="28"/>
          <w:szCs w:val="28"/>
          <w:rtl w:val="true"/>
          <w:lang w:bidi="fa-IR"/>
        </w:rPr>
        <w:t>اللّه من أجله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یَعْبُدُونَ اَللَّهَ تَعَالَی عَلَی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یَعْبُدُونَهُ رَجَاءَ ثَوَابِهِ، فَتِلْکَ عِبَادَةُ اَلْحُرَصَاءِ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مِنْهُمْ یَعْبُدُونَهُ خَوْفاً مِنْ نَارِهِ، فَتِلْکَ عِبَادَةُ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مِنْهُمْ یَعْبُدُونَهُ حُبّاً لَهُ، فَتِلْکَ عِبَادَةُ اَلْکِرَامِ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اعتقادنا فی النّار أنّها دار الهوان، و دار الانتقام من أهل الکفر و العصیان، و لا یخلد فیها إلاّ أهل الکفر و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المذنبون من أهل التوحید، فإنّهم یخرجون منها بالرحمة التی تدرکهم، و الشفاعة التی تنالهم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أَنَّهُ لاَ یُصِیبُ أَحَداً مِنْ أَهْلِ اَلتَّوْحِیدِ أَلَمٌ فِی اَلنَّارِ إِذَا دَخَلُوهَا، وَ إِنَّمَا تُصِیبُهُمُ اَلْآلاَمُ عِنْدَ اَلْخُرُوجِ مِنْهَا، فَتَکُونُ تِلْکَ اَلْآلاَمُ جَزَاءً بِمَا کَسَبَتْ أَیْدِیهِمْ، وَ مَا </w:t>
      </w:r>
    </w:p>
    <w:p>
      <w:pPr>
        <w:pStyle w:val="BookText"/>
        <w:rPr/>
      </w:pPr>
      <w:r>
        <w:rPr>
          <w:rFonts w:ascii="Amiri" w:hAnsi="Amiri" w:eastAsia="Amiri" w:cs="Amiri"/>
          <w:color w:val="111111"/>
          <w:sz w:val="28"/>
          <w:sz w:val="28"/>
          <w:szCs w:val="28"/>
          <w:rtl w:val="true"/>
          <w:lang w:bidi="ar-SA"/>
        </w:rPr>
        <w:t xml:space="preserve">اَللَّهُ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النّار هم المساکین </w:t>
      </w:r>
      <w:r>
        <w:rPr>
          <w:rStyle w:val="FootnoteAnchor"/>
          <w:rtl w:val="true"/>
        </w:rPr>
        <w:footnoteReference w:id="267"/>
      </w:r>
      <w:r>
        <w:rPr>
          <w:rFonts w:ascii="Amiri" w:hAnsi="Amiri" w:eastAsia="Amiri" w:cs="Amiri"/>
          <w:color w:val="111111"/>
          <w:sz w:val="28"/>
          <w:sz w:val="28"/>
          <w:szCs w:val="28"/>
          <w:rtl w:val="true"/>
          <w:lang w:bidi="ar-SA"/>
        </w:rPr>
        <w:t xml:space="preserve">حقّا، لاٰ یُقْضیٰ عَلَیْهِمْ فَیَمُوتُوا وَ لاٰ یُخَفَّفُ عَنْهُمْ مِنْ عَذٰابِهٰا </w:t>
      </w:r>
      <w:r>
        <w:rPr>
          <w:rStyle w:val="FootnoteAnchor"/>
          <w:rtl w:val="true"/>
        </w:rPr>
        <w:footnoteReference w:id="268"/>
      </w:r>
      <w:r>
        <w:rPr>
          <w:rFonts w:ascii="Amiri" w:hAnsi="Amiri" w:eastAsia="Amiri" w:cs="Amiri"/>
          <w:color w:val="111111"/>
          <w:sz w:val="28"/>
          <w:sz w:val="28"/>
          <w:szCs w:val="28"/>
          <w:rtl w:val="true"/>
          <w:lang w:bidi="ar-SA"/>
        </w:rPr>
        <w:t xml:space="preserve">و لاٰ یَذُوقُونَ فِیهٰا بَرْداً وَ لاٰ شَرٰاباً إِلاّٰ حَمِیماً وَ غَسّٰاقاً </w:t>
      </w:r>
      <w:r>
        <w:rPr>
          <w:rStyle w:val="FootnoteAnchor"/>
          <w:rtl w:val="true"/>
        </w:rPr>
        <w:footnoteReference w:id="269"/>
      </w:r>
      <w:r>
        <w:rPr>
          <w:rFonts w:ascii="Amiri" w:hAnsi="Amiri" w:eastAsia="Amiri" w:cs="Amiri"/>
          <w:color w:val="111111"/>
          <w:sz w:val="28"/>
          <w:sz w:val="28"/>
          <w:szCs w:val="28"/>
          <w:rtl w:val="true"/>
          <w:lang w:bidi="ar-SA"/>
        </w:rPr>
        <w:t xml:space="preserve">و إن استطعموا اطعموا من الزقوم ، و إن استغاثوا یُغٰاثُوا بِمٰاءٍ کَالْمُهْلِ یَشْوِی اَلْوُجُوهَ بِئْسَ اَلشَّرٰابُ وَ سٰاءَتْ مُرْتَفَقاً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یُنٰادَوْنَ مِنْ مَکٰانٍ بَعِیدٍ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نَعْمَلْ صٰالِحاً </w:t>
      </w:r>
      <w:r>
        <w:rPr>
          <w:rStyle w:val="FootnoteAnchor"/>
          <w:rtl w:val="true"/>
        </w:rPr>
        <w:footnoteReference w:id="272"/>
      </w:r>
      <w:r>
        <w:rPr>
          <w:rFonts w:ascii="Amiri" w:hAnsi="Amiri" w:eastAsia="Amiri" w:cs="Amiri"/>
          <w:color w:val="111111"/>
          <w:sz w:val="28"/>
          <w:sz w:val="28"/>
          <w:szCs w:val="28"/>
          <w:rtl w:val="true"/>
          <w:lang w:bidi="ar-SA"/>
        </w:rPr>
        <w:t xml:space="preserve">، رَبَّنٰا أَخْرِجْنٰا مِنْهٰا فَإِنْ عُدْنٰا فَإِنّٰا ظٰالِمُونَ </w:t>
      </w:r>
      <w:r>
        <w:rPr>
          <w:rStyle w:val="FootnoteAnchor"/>
          <w:rtl w:val="true"/>
        </w:rPr>
        <w:footnoteReference w:id="273"/>
      </w:r>
      <w:r>
        <w:rPr>
          <w:rFonts w:ascii="Amiri" w:hAnsi="Amiri" w:eastAsia="Amiri" w:cs="Amiri"/>
          <w:color w:val="111111"/>
          <w:sz w:val="28"/>
          <w:sz w:val="28"/>
          <w:szCs w:val="28"/>
          <w:rtl w:val="true"/>
          <w:lang w:bidi="ar-SA"/>
        </w:rPr>
        <w:t>فیمسک الجواب عنهم أحیانا، ثمّ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فِیهٰا وَ لاٰ تُکَلِّمُونِ </w:t>
      </w:r>
      <w:r>
        <w:rPr>
          <w:rStyle w:val="FootnoteAnchor"/>
          <w:rtl w:val="true"/>
        </w:rPr>
        <w:footnoteReference w:id="274"/>
      </w:r>
      <w:r>
        <w:rPr>
          <w:rFonts w:ascii="Amiri" w:hAnsi="Amiri" w:eastAsia="Amiri" w:cs="Amiri"/>
          <w:color w:val="111111"/>
          <w:sz w:val="28"/>
          <w:sz w:val="28"/>
          <w:szCs w:val="28"/>
          <w:rtl w:val="true"/>
          <w:lang w:bidi="ar-SA"/>
        </w:rPr>
        <w:t xml:space="preserve">وَ نٰادَوْا یٰا مٰالِکُ لِیَقْضِ عَلَیْنٰا رَبُّکَ قٰالَ إِنَّکُمْ مٰاکِثُونَ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یَأْمُرُ اَللَّهُ تَعَالَی بِرِجَالٍ إِلَی اَلنَّارِ ، فَیَقُولُ لِمَالِکٍ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 لاَ تُحْرِقِی لَهُمْ أَقْدَاماً، فَقَدْ کَانُوا یَمْشُونَ بِهَا إِلَی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تُحْرِقِی لَهُمْ أَیْدِیاً، فَقَدْ کَانُوا یَرْفَعُونَهَا إِلَیَّ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تُحْرِقِی لَهُمْ أَلْسِنَةً، فَقَدْ کَانُوا یُکْثِرُونَ 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تُحْرِقِی لَهُمْ وُجُوهاً، فَقَدْ کَانُوا یُسْبِغُونَ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أَشْقِیَاءُ، فَمَا کَانَ حَالُکُمْ؟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نَعْمَلُ لِغَیْرِ اَللَّهِ،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ثَوَابَکُمْ مِمَّنْ عَمِلْتُمْ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 الجنّة و النّار أنّهما مخلوقتان، و أنّ النبیّ صلّی اللّه علیه و آله و سلّم قد دخل الجنّة ، و رأی النّار حین عرج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أنّه لا یخرج أحد من الدنیا حتی یری مکانه من الجنّة أو من النّار ، و أن المؤمن لا یخرج من الدنیا حتی ترفع له الدنیا کأحسن ما رآها و یری </w:t>
      </w:r>
      <w:r>
        <w:rPr>
          <w:rStyle w:val="FootnoteAnchor"/>
          <w:rtl w:val="true"/>
        </w:rPr>
        <w:footnoteReference w:id="278"/>
      </w:r>
      <w:r>
        <w:rPr>
          <w:rFonts w:ascii="IRNazanin" w:hAnsi="IRNazanin" w:eastAsia="IRNazanin"/>
          <w:color w:val="111111"/>
          <w:sz w:val="28"/>
          <w:sz w:val="28"/>
          <w:szCs w:val="28"/>
          <w:rtl w:val="true"/>
          <w:lang w:bidi="fa-IR"/>
        </w:rPr>
        <w:t>مکانه فی الآخرة، ثم یخیّر فیختار الآخرة، فحینئذ تقبض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العادة أن یقال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یجود بنفسه، و لا یجود الإنسان بشیء إلاّ عن طیبة نفس، غیر مقهور، و لا مجبور، و لا مکروه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جنّة آدم ، فهی جنّة من جنان الدنیا، تطلع الشمس فیها و تغیب، و لیست بجنّة الخلد، و لو کانت جنّة الخلد ما خرج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أنّ بالثواب یخلد أهل الجنّة فی الجنّة </w:t>
      </w:r>
      <w:r>
        <w:rPr>
          <w:rStyle w:val="FootnoteAnchor"/>
          <w:rtl w:val="true"/>
        </w:rPr>
        <w:footnoteReference w:id="281"/>
      </w:r>
      <w:r>
        <w:rPr>
          <w:rFonts w:ascii="IRNazanin" w:hAnsi="IRNazanin" w:eastAsia="IRNazanin"/>
          <w:color w:val="111111"/>
          <w:sz w:val="28"/>
          <w:sz w:val="28"/>
          <w:szCs w:val="28"/>
          <w:rtl w:val="true"/>
          <w:lang w:bidi="fa-IR"/>
        </w:rPr>
        <w:t xml:space="preserve">و بالعقاب یخلد أهل النّار فی النّار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أحد یدخل الجنّة حتی یعرض علیه مکانه من النّار ،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مکانک الذی لو عصیت اللّه لکنت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أحد یدخل النّار حتی یعرض علیه مکانه من الجنّة ،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مکانک الذی لو أطعت اللّه لکنت فیه</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فیورث هؤلاء مکان هؤلاء، و هؤلاء مکان هؤلاء </w:t>
      </w:r>
      <w:r>
        <w:rPr>
          <w:rStyle w:val="FootnoteAnchor"/>
          <w:rtl w:val="true"/>
        </w:rPr>
        <w:footnoteReference w:id="283"/>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أقلّ المؤمنین منزلة فی الجنّة من له مثل </w:t>
      </w:r>
      <w:r>
        <w:rPr>
          <w:rStyle w:val="FootnoteAnchor"/>
          <w:rtl w:val="true"/>
        </w:rPr>
        <w:footnoteReference w:id="285"/>
      </w:r>
      <w:r>
        <w:rPr>
          <w:rFonts w:ascii="IRNazanin" w:hAnsi="IRNazanin" w:eastAsia="IRNazanin"/>
          <w:color w:val="111111"/>
          <w:sz w:val="28"/>
          <w:sz w:val="28"/>
          <w:szCs w:val="28"/>
          <w:rtl w:val="true"/>
          <w:lang w:bidi="fa-IR"/>
        </w:rPr>
        <w:t xml:space="preserve">ملک الدنیا عشر مرّات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98" w:name="pg20035_204908"/>
    </w:p>
    <w:p>
      <w:pPr>
        <w:pStyle w:val="Heading2"/>
        <w:numPr>
          <w:ilvl w:val="1"/>
          <w:numId w:val="1"/>
        </w:numPr>
        <w:rPr/>
      </w:pPr>
      <w:bookmarkStart w:id="99" w:name="__RefHeading___Toc709774_373438147"/>
      <w:bookmarkStart w:id="100" w:name="_Toc33"/>
      <w:bookmarkEnd w:id="98"/>
      <w:bookmarkEnd w:id="99"/>
      <w:r>
        <w:rPr>
          <w:rtl w:val="true"/>
        </w:rPr>
        <w:t>[</w:t>
      </w:r>
      <w:r>
        <w:rPr/>
        <w:t>30</w:t>
      </w:r>
      <w:r>
        <w:rPr>
          <w:rtl w:val="true"/>
        </w:rPr>
        <w:t>]</w:t>
      </w:r>
      <w:r>
        <w:rPr>
          <w:rtl w:val="true"/>
        </w:rPr>
        <w:t>باب الاعتقاد فی کیفیّة نزول الوحی من عند اللّه بالکتب فی الأمر و النهی</w:t>
      </w:r>
      <w:bookmarkEnd w:id="1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ذلک أنّ بین عینی اسرافیل لوحا، فإذا أراد اللّه تعالی أن یتکلّم بالوحی ضرب اللوح جبین اسرافیل ، فینظر </w:t>
      </w:r>
      <w:r>
        <w:rPr>
          <w:rStyle w:val="FootnoteAnchor"/>
          <w:rtl w:val="true"/>
        </w:rPr>
        <w:footnoteReference w:id="287"/>
      </w:r>
      <w:r>
        <w:rPr>
          <w:rFonts w:ascii="IRNazanin" w:hAnsi="IRNazanin" w:eastAsia="IRNazanin"/>
          <w:color w:val="111111"/>
          <w:sz w:val="28"/>
          <w:sz w:val="28"/>
          <w:szCs w:val="28"/>
          <w:rtl w:val="true"/>
          <w:lang w:bidi="fa-IR"/>
        </w:rPr>
        <w:t>فیه فیقرأ ما فیه، فیلقیه إلی میکائیل ، و یلقیه میکائیل إلی جبرئیل ، فیلقیه جبرئیل إلی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الغشوة التی کانت تأخذ النبیّ صلّی اللّه علیه و آله و سلّم فإنّها کانت تکون عند مخاطبة اللّه إیّاه حتی یثقل و یعرق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جبرئیل فإنّه کان لا یدخل علیه حتی یستأذنه إکراما له، و کان یقعد بین یدیه قعدة العبد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01" w:name="pg20035_204909"/>
    </w:p>
    <w:p>
      <w:pPr>
        <w:pStyle w:val="Heading2"/>
        <w:numPr>
          <w:ilvl w:val="1"/>
          <w:numId w:val="1"/>
        </w:numPr>
        <w:rPr/>
      </w:pPr>
      <w:bookmarkStart w:id="102" w:name="__RefHeading___Toc709776_373438147"/>
      <w:bookmarkStart w:id="103" w:name="_Toc34"/>
      <w:bookmarkEnd w:id="101"/>
      <w:bookmarkEnd w:id="102"/>
      <w:r>
        <w:rPr>
          <w:rtl w:val="true"/>
        </w:rPr>
        <w:t>[</w:t>
      </w:r>
      <w:r>
        <w:rPr/>
        <w:t>31</w:t>
      </w:r>
      <w:r>
        <w:rPr>
          <w:rtl w:val="true"/>
        </w:rPr>
        <w:t>]</w:t>
      </w:r>
      <w:r>
        <w:rPr>
          <w:rtl w:val="true"/>
        </w:rPr>
        <w:t>باب الاعتقاد فی نزول القرآن فی لیلة القدر</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الاعتقاد فی نزول القرآن فی لیلة القدر </w:t>
      </w:r>
      <w:r>
        <w:rPr>
          <w:rStyle w:val="FootnoteAnchor"/>
          <w:rtl w:val="true"/>
        </w:rPr>
        <w:footnoteReference w:id="2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ذلک أنّ القرآن نزل فی شهر رمضان فی لیلة القدر جملة واحدة إلی البیت المعمور </w:t>
      </w:r>
      <w:r>
        <w:rPr>
          <w:rStyle w:val="FootnoteAnchor"/>
          <w:rtl w:val="true"/>
        </w:rPr>
        <w:footnoteReference w:id="291"/>
      </w:r>
      <w:r>
        <w:rPr>
          <w:rFonts w:ascii="IRNazanin" w:hAnsi="IRNazanin" w:eastAsia="IRNazanin"/>
          <w:color w:val="111111"/>
          <w:sz w:val="28"/>
          <w:sz w:val="28"/>
          <w:szCs w:val="28"/>
          <w:rtl w:val="true"/>
          <w:lang w:bidi="fa-IR"/>
        </w:rPr>
        <w:t xml:space="preserve">ثمّ نزل من البیت المعمور فی مدّة عشرین سنة </w:t>
      </w:r>
      <w:r>
        <w:rPr>
          <w:rStyle w:val="FootnoteAnchor"/>
          <w:rtl w:val="true"/>
        </w:rPr>
        <w:footnoteReference w:id="292"/>
      </w:r>
      <w:r>
        <w:rPr>
          <w:rFonts w:ascii="Amiri" w:hAnsi="Amiri" w:eastAsia="Amiri" w:cs="Amiri"/>
          <w:color w:val="111111"/>
          <w:sz w:val="28"/>
          <w:sz w:val="28"/>
          <w:szCs w:val="28"/>
          <w:rtl w:val="true"/>
          <w:lang w:bidi="ar-SA"/>
        </w:rPr>
        <w:t xml:space="preserve">و أنّ اللّه عزّ و جلّ أعطی نبیّه صلّی اللّه علیه و آله و سلّم العلم جملة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إِنَّ عَلَیْنٰا جَمْعَهُ وَ قُرْآنَهُ فَإِذٰا قَرَأْنٰاهُ فَاتَّبِعْ قُرْآنَهُ ثُمَّ إِنَّ عَلَیْنٰا بَیٰانَهُ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04" w:name="pg20035_204910"/>
    </w:p>
    <w:p>
      <w:pPr>
        <w:pStyle w:val="Heading2"/>
        <w:numPr>
          <w:ilvl w:val="1"/>
          <w:numId w:val="1"/>
        </w:numPr>
        <w:rPr/>
      </w:pPr>
      <w:bookmarkStart w:id="105" w:name="__RefHeading___Toc709778_373438147"/>
      <w:bookmarkStart w:id="106" w:name="_Toc35"/>
      <w:bookmarkEnd w:id="104"/>
      <w:bookmarkEnd w:id="105"/>
      <w:r>
        <w:rPr>
          <w:rtl w:val="true"/>
        </w:rPr>
        <w:t>[</w:t>
      </w:r>
      <w:r>
        <w:rPr/>
        <w:t>32</w:t>
      </w:r>
      <w:r>
        <w:rPr>
          <w:rtl w:val="true"/>
        </w:rPr>
        <w:t>]</w:t>
      </w:r>
      <w:r>
        <w:rPr>
          <w:rtl w:val="true"/>
        </w:rPr>
        <w:t>باب الاعتقاد فی القرآن</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القرآن أنّه کلام اللّه، و وحیه، و تنزیله، و قوله، و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یَأْتِیهِ اَلْبٰاطِلُ مِنْ بَیْنِ یَدَیْهِ وَ لاٰ مِنْ خَلْفِهِ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القصص الحق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قول فَصْلٌ، وَ مٰا هُوَ بِالْهَزْلِ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تعالی محدثه، و منزله، و حافظه، و ربّه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07" w:name="pg20035_204911"/>
    </w:p>
    <w:p>
      <w:pPr>
        <w:pStyle w:val="Heading2"/>
        <w:numPr>
          <w:ilvl w:val="1"/>
          <w:numId w:val="1"/>
        </w:numPr>
        <w:rPr/>
      </w:pPr>
      <w:bookmarkStart w:id="108" w:name="__RefHeading___Toc709780_373438147"/>
      <w:bookmarkStart w:id="109" w:name="_Toc36"/>
      <w:bookmarkEnd w:id="107"/>
      <w:bookmarkEnd w:id="108"/>
      <w:r>
        <w:rPr>
          <w:rtl w:val="true"/>
        </w:rPr>
        <w:t>[</w:t>
      </w:r>
      <w:r>
        <w:rPr/>
        <w:t>33</w:t>
      </w:r>
      <w:r>
        <w:rPr>
          <w:rtl w:val="true"/>
        </w:rPr>
        <w:t>]</w:t>
      </w:r>
      <w:r>
        <w:rPr>
          <w:rtl w:val="true"/>
        </w:rPr>
        <w:t>باب الاعتقاد فی مبلغ القرآن</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و سلّم هو ما بین الدفّتین، و هو ما فی أیدی الناس، لیس بأکثر من ذلک، و مبلغ سوره عند الناس مائة و أربع عشرة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أنّ الضحی و ألم نشرح سورة واحدة، و لإیلاف و أ لم تر کیف سورة واحدة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نسب إلینا أنّا نقول إنّه أکثر من ذلک فهو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روی من ثواب قراءة کل سورة من القرآن ، و ثواب من ختم القرآن کلّه </w:t>
      </w:r>
      <w:r>
        <w:rPr>
          <w:rStyle w:val="FootnoteAnchor"/>
          <w:rtl w:val="true"/>
        </w:rPr>
        <w:footnoteReference w:id="301"/>
      </w:r>
      <w:r>
        <w:rPr>
          <w:rFonts w:ascii="IRNazanin" w:hAnsi="IRNazanin" w:eastAsia="IRNazanin"/>
          <w:color w:val="111111"/>
          <w:sz w:val="28"/>
          <w:sz w:val="28"/>
          <w:szCs w:val="28"/>
          <w:rtl w:val="true"/>
          <w:lang w:bidi="fa-IR"/>
        </w:rPr>
        <w:t>، و جواز قراءة سورتین فی رکعة نافلة، و النهی عن القران بین سورتین فی رکعة فریضة، تصدیق لما قلناه فی أمر القرآن و أنّ مبلغه 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روی من النهی عن قراءة القرآن کلّه فی لیلة واحدة، و أنّه لا یجوز أن یختم فی أقل من ثلاثة أیام، تصدیق لما قلناه أیضا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نزل الوحی الذی لیس بقرآن ، ما لو جمع إلی القرآن لکان </w:t>
      </w:r>
    </w:p>
    <w:p>
      <w:pPr>
        <w:pStyle w:val="BookText"/>
        <w:rPr/>
      </w:pPr>
      <w:r>
        <w:rPr>
          <w:rFonts w:ascii="IRNazanin" w:hAnsi="IRNazanin" w:eastAsia="IRNazanin"/>
          <w:color w:val="111111"/>
          <w:sz w:val="28"/>
          <w:sz w:val="28"/>
          <w:szCs w:val="28"/>
          <w:rtl w:val="true"/>
          <w:lang w:bidi="fa-IR"/>
        </w:rPr>
        <w:t>مبلغه مقدار سبعة عشر ألف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مثل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جَبْرَئِیلَ لِلنَّبِیِّ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دَارِ خَلْقِی</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شَحْنَاءَ اَلنَّاسِ وَ عَدَاوَتَهُمْ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 فَإِنَّکَ مَیِّتٌ، وَ أَحْبِبْ مَا شِئْتَ فَإِنَّکَ مُفَارِقُهُ، وَ اِعْمَلْ مَا شِئْتَ فَإِنَّکَ 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اَلْمُؤْمِنِ صَلاَتُهُ بِاللَّیْلِ، وَ عِزُّهُ کَفُّ اَلْأَذَی عَنِ اَلنَّاسِ</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جَبْرَئِیلُ یُوصِینِی بِالسِّوَاکِ حَتَّی خِفْتُ أَنْ أُدْرِدَ وَ أحفر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أُحْفِیَ</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مَا زَالَ یُوصِینِی بِالْجَارِ حَتَّی ظَنَنْتُ أَنَّهُ سَیُوَرِّثُهُ، وَ مَا زَالَ یُوصِینِی بِالْمَرْأَةِ حَتَّی ظَنَنْتُ أَنَّهُ لاَ یَنْبَغِی طَلاَقُهَا، وَ مَا زَالَ یُوصِینِی بِالْمَمْلُوکِ حَتَّی ظَنَنْتُ أَنَّهُ سَیَضْرِبُ لَهُ أَجَلاً یُعْتَقُ بِهِ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 حِینَ فَرَغَ مِنْ غَزْوَةِ اَلْخَنْدَقِ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مُحَمَّدُ ، إِنَّ اَللَّهَ یَأْمُرُکَ أَنْ لاَ تُصَلِّیَ اَلْعَصْرَ إِلاَّ بِبَنِی قُرَیْظَةَ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أَمَرَنِی رَبِّی بِمُدَارَاةِ اَلنَّاسِ کَمَا أَمَرَنِی بِأَدَاءِ اَلْفَرَائِضِ</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اَلْأَنْبِیَاءِ أُمِرْنَا أَنْ لاَ نُکَلِّمَ اَلنَّاسَ إِلاَّ بِمِقْدَارِ عُقُولِهِمْ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 أَتَانِی مِنْ قِبَلِ رَبِّی بِأَمْرٍ قَرَّتْ بِهِ عَیْنِی، وَ فَرِحَ بِهِ صَدْرِی وَ قَلْبِی،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أَمِیرُ اَلْمُؤْمِنِینَ، وَ قَائِدُ اَلْغُرِّ اَلْمُحَجَّلِینَ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w:t>
      </w:r>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إِنَّ اَللَّهَ تَعَالَی قَدْ زَوَّجَ فَاطِمَةَ عَلِیّاً مِنْ فَوْقِ عَرْشِهِ، وَ أَشْهَدَ عَلَی ذَلِکَ خِیَارَ مَلاَئِکَتِهِ، فَزَوِّجْهَا مِنْهُ فِی اَلْأَرْضِ، وَ أَشْهِدْ عَلَی ذَلِکَ خِیَارَ أُمَّتِکَ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هذا </w:t>
      </w:r>
      <w:r>
        <w:rPr>
          <w:rStyle w:val="FootnoteAnchor"/>
          <w:rtl w:val="true"/>
        </w:rPr>
        <w:footnoteReference w:id="310"/>
      </w:r>
      <w:r>
        <w:rPr>
          <w:rFonts w:ascii="IRNazanin" w:hAnsi="IRNazanin" w:eastAsia="IRNazanin"/>
          <w:color w:val="111111"/>
          <w:sz w:val="28"/>
          <w:sz w:val="28"/>
          <w:szCs w:val="28"/>
          <w:rtl w:val="true"/>
          <w:lang w:bidi="fa-IR"/>
        </w:rPr>
        <w:t xml:space="preserve">کثیر، کلّه وحی لیس بقرآن، و لو کان قرآنا لکان مقرونا به، و موصلا إلیه غیر مفصول عنه </w:t>
      </w:r>
      <w:r>
        <w:rPr>
          <w:rStyle w:val="FootnoteAnchor"/>
          <w:rtl w:val="true"/>
        </w:rPr>
        <w:footnoteReference w:id="311"/>
      </w:r>
      <w:r>
        <w:rPr>
          <w:rFonts w:ascii="IRNazanin" w:hAnsi="IRNazanin" w:eastAsia="IRNazanin"/>
          <w:color w:val="111111"/>
          <w:sz w:val="28"/>
          <w:sz w:val="28"/>
          <w:szCs w:val="28"/>
          <w:rtl w:val="true"/>
          <w:lang w:bidi="fa-IR"/>
        </w:rPr>
        <w:t>کما کان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 فَلَمَّا جَاءَهُمْ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 رَبِّکُمْ کَمَا أُنْزِلَ عَلَی نَبِیِّکُمْ ، لَمْ یَزِدْ فِیهِ حَرْفٌ، وَ لَمْ یَنْقُصْ مِنْهُ 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فِیهِ، عِنْدَنَا مِثْلُ اَلَّذِی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قَلِیلاً فَبِئْسَ مٰا یَشْتَرُونَ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وَاحِدٌ، نَزَلَ مِنْ عِنْدِ وَاحِدٍ عَلَی وَاحِدٍ، وَ إِنَّمَا اَلاِخْتِلاَفُ مِنْ جِهَةِ اَلرُّوَاةِ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کان فی القرآن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Style w:val="FootnoteAnchor"/>
          <w:rtl w:val="true"/>
        </w:rPr>
        <w:footnoteReference w:id="314"/>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Style w:val="FootnoteAnchor"/>
          <w:rtl w:val="true"/>
        </w:rPr>
        <w:footnoteReference w:id="315"/>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إِذاً لَأَذَقْنٰاکَ ضِعْفَ اَلْحَیٰاةِ وَ ضِعْفَ اَلْمَمٰاتِ </w:t>
      </w:r>
      <w:r>
        <w:rPr>
          <w:rStyle w:val="FootnoteAnchor"/>
          <w:rtl w:val="true"/>
        </w:rPr>
        <w:footnoteReference w:id="316"/>
      </w:r>
      <w:r>
        <w:rPr>
          <w:rFonts w:ascii="IRNazanin" w:hAnsi="IRNazanin" w:eastAsia="IRNazanin"/>
          <w:color w:val="111111"/>
          <w:sz w:val="28"/>
          <w:sz w:val="28"/>
          <w:szCs w:val="28"/>
          <w:rtl w:val="true"/>
          <w:lang w:bidi="fa-IR"/>
        </w:rPr>
        <w:t xml:space="preserve">و ما أشبه ذلک، فاعتقادنا فیه أنّه نزل علی </w:t>
      </w:r>
      <w:r>
        <w:rPr>
          <w:rStyle w:val="FootnoteAnchor"/>
          <w:rtl w:val="true"/>
        </w:rPr>
        <w:footnoteReference w:id="317"/>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 کان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فیه 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ما کان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فهو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آیة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إلاّ ابن أبی طالب قائدها، و أمیرها، و شریفها،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آیة تسوق </w:t>
      </w:r>
      <w:r>
        <w:rPr>
          <w:rStyle w:val="FootnoteAnchor"/>
          <w:rtl w:val="true"/>
        </w:rPr>
        <w:footnoteReference w:id="318"/>
      </w:r>
      <w:r>
        <w:rPr>
          <w:rFonts w:ascii="IRNazanin" w:hAnsi="IRNazanin" w:eastAsia="IRNazanin"/>
          <w:color w:val="111111"/>
          <w:sz w:val="28"/>
          <w:sz w:val="28"/>
          <w:szCs w:val="28"/>
          <w:rtl w:val="true"/>
          <w:lang w:bidi="fa-IR"/>
        </w:rPr>
        <w:t xml:space="preserve">إلی الجنّة إلاّ و هی فی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أشیاعهم و 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آیة تسوق </w:t>
      </w:r>
      <w:r>
        <w:rPr>
          <w:rStyle w:val="FootnoteAnchor"/>
          <w:rtl w:val="true"/>
        </w:rPr>
        <w:footnoteReference w:id="319"/>
      </w:r>
      <w:r>
        <w:rPr>
          <w:rFonts w:ascii="IRNazanin" w:hAnsi="IRNazanin" w:eastAsia="IRNazanin"/>
          <w:color w:val="111111"/>
          <w:sz w:val="28"/>
          <w:sz w:val="28"/>
          <w:szCs w:val="28"/>
          <w:rtl w:val="true"/>
          <w:lang w:bidi="fa-IR"/>
        </w:rPr>
        <w:t>إلی النّار إلاّ و هی فی أعدائهم و المخالفین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الآیات </w:t>
      </w:r>
      <w:r>
        <w:rPr>
          <w:rStyle w:val="FootnoteAnchor"/>
          <w:rtl w:val="true"/>
        </w:rPr>
        <w:footnoteReference w:id="320"/>
      </w:r>
      <w:r>
        <w:rPr>
          <w:rFonts w:ascii="IRNazanin" w:hAnsi="IRNazanin" w:eastAsia="IRNazanin"/>
          <w:color w:val="111111"/>
          <w:sz w:val="28"/>
          <w:sz w:val="28"/>
          <w:szCs w:val="28"/>
          <w:rtl w:val="true"/>
          <w:lang w:bidi="fa-IR"/>
        </w:rPr>
        <w:t xml:space="preserve">فی ذکر الأوّلین فإنّ کل ما کان فیها </w:t>
      </w:r>
      <w:r>
        <w:rPr>
          <w:rStyle w:val="FootnoteAnchor"/>
          <w:rtl w:val="true"/>
        </w:rPr>
        <w:footnoteReference w:id="321"/>
      </w:r>
      <w:r>
        <w:rPr>
          <w:rFonts w:ascii="IRNazanin" w:hAnsi="IRNazanin" w:eastAsia="IRNazanin"/>
          <w:color w:val="111111"/>
          <w:sz w:val="28"/>
          <w:sz w:val="28"/>
          <w:szCs w:val="28"/>
          <w:rtl w:val="true"/>
          <w:lang w:bidi="fa-IR"/>
        </w:rPr>
        <w:t xml:space="preserve">من خیر فهو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 فی أهل الخیر </w:t>
      </w:r>
      <w:r>
        <w:rPr>
          <w:rStyle w:val="FootnoteAnchor"/>
          <w:rtl w:val="true"/>
        </w:rPr>
        <w:footnoteReference w:id="322"/>
      </w:r>
      <w:r>
        <w:rPr>
          <w:rFonts w:ascii="IRNazanin" w:hAnsi="IRNazanin" w:eastAsia="IRNazanin"/>
          <w:color w:val="111111"/>
          <w:sz w:val="28"/>
          <w:sz w:val="28"/>
          <w:szCs w:val="28"/>
          <w:rtl w:val="true"/>
          <w:lang w:bidi="fa-IR"/>
        </w:rPr>
        <w:t xml:space="preserve">و ما کان فیها من شرّ فهو جار فی أهل الشر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الأنبیاء خیر من النبیّ محمد صلّی اللّه علیه و آله و سلّم، و لا فی الأوصیاء أفضل من أوصیائه، و لا فی الامم أفضل من هذه الامّة الّذین هم شیعة أهل بیته فی الحقیقة دون غیرهم، و لا فی الأشرار شرّ من أعدائهم و المخالفین لهم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10" w:name="pg20035_204916"/>
    </w:p>
    <w:p>
      <w:pPr>
        <w:pStyle w:val="Heading2"/>
        <w:numPr>
          <w:ilvl w:val="1"/>
          <w:numId w:val="1"/>
        </w:numPr>
        <w:rPr/>
      </w:pPr>
      <w:bookmarkStart w:id="111" w:name="__RefHeading___Toc709782_373438147"/>
      <w:bookmarkStart w:id="112" w:name="_Toc37"/>
      <w:bookmarkEnd w:id="110"/>
      <w:bookmarkEnd w:id="111"/>
      <w:r>
        <w:rPr>
          <w:rtl w:val="true"/>
        </w:rPr>
        <w:t>[</w:t>
      </w:r>
      <w:r>
        <w:rPr/>
        <w:t>34</w:t>
      </w:r>
      <w:r>
        <w:rPr>
          <w:rtl w:val="true"/>
        </w:rPr>
        <w:t>]</w:t>
      </w:r>
      <w:r>
        <w:rPr>
          <w:rtl w:val="true"/>
        </w:rPr>
        <w:t>باب الاعتقاد فی الأنبیاء و الرسل و الحجج</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الاعتقاد فی الأنبیاء و الرسل و الحجج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الأنبیاء و الرسل و الحجج صلوات اللّه علیهم أنّهم أفضل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الملائکة للّه عزّ و جلّ 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قٰالُوا أَ تَجْعَلُ فِیهٰا مَنْ یُفْسِدُ فِیهٰا وَ یَسْفِکُ اَلدِّمٰاءَ وَ نَحْنُ نُسَبِّحُ بِحَمْدِکَ وَ نُقَدِّسُ لَکَ </w:t>
      </w:r>
      <w:r>
        <w:rPr>
          <w:rStyle w:val="FootnoteAnchor"/>
          <w:rtl w:val="true"/>
        </w:rPr>
        <w:footnoteReference w:id="326"/>
      </w:r>
      <w:r>
        <w:rPr>
          <w:rFonts w:ascii="IRNazanin" w:hAnsi="IRNazanin" w:eastAsia="IRNazanin"/>
          <w:color w:val="111111"/>
          <w:sz w:val="28"/>
          <w:sz w:val="28"/>
          <w:szCs w:val="28"/>
          <w:rtl w:val="true"/>
          <w:lang w:bidi="fa-IR"/>
        </w:rPr>
        <w:t xml:space="preserve">هو التمنّی فیها لمنزلة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یتمنّوا إلاّ منزلة فوق منزلتهم، و العلم یوجب فضله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یوجب تفضیل آدم علی الملائکة، و هو نبی لهم، بقول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أَنْبِئْهُمْ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ثبت </w:t>
      </w:r>
      <w:r>
        <w:rPr>
          <w:rStyle w:val="FootnoteAnchor"/>
          <w:rtl w:val="true"/>
        </w:rPr>
        <w:footnoteReference w:id="329"/>
      </w:r>
      <w:r>
        <w:rPr>
          <w:rFonts w:ascii="IRNazanin" w:hAnsi="IRNazanin" w:eastAsia="IRNazanin"/>
          <w:color w:val="111111"/>
          <w:sz w:val="28"/>
          <w:sz w:val="28"/>
          <w:szCs w:val="28"/>
          <w:rtl w:val="true"/>
          <w:lang w:bidi="fa-IR"/>
        </w:rPr>
        <w:t xml:space="preserve">تفضیل آدم علی الملائکة </w:t>
      </w:r>
      <w:r>
        <w:rPr>
          <w:rStyle w:val="FootnoteAnchor"/>
          <w:rtl w:val="true"/>
        </w:rPr>
        <w:footnoteReference w:id="330"/>
      </w:r>
      <w:r>
        <w:rPr>
          <w:rFonts w:ascii="Amiri" w:hAnsi="Amiri" w:eastAsia="Amiri" w:cs="Amiri"/>
          <w:color w:val="111111"/>
          <w:sz w:val="28"/>
          <w:sz w:val="28"/>
          <w:szCs w:val="28"/>
          <w:rtl w:val="true"/>
          <w:lang w:bidi="ar-SA"/>
        </w:rPr>
        <w:t>أمر اللّه تعالی الملائکة بالسجود لآدم ،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یأمرهم اللّه بالسجود إلاّ لمن هو أفضل منهم، و کان سجودهم للّه تعالی عبودیة و طاعة و لآدم </w:t>
      </w:r>
      <w:r>
        <w:rPr>
          <w:rStyle w:val="FootnoteAnchor"/>
          <w:rtl w:val="true"/>
        </w:rPr>
        <w:footnoteReference w:id="332"/>
      </w:r>
      <w:r>
        <w:rPr>
          <w:rFonts w:ascii="IRNazanin" w:hAnsi="IRNazanin" w:eastAsia="IRNazanin"/>
          <w:color w:val="111111"/>
          <w:sz w:val="28"/>
          <w:sz w:val="28"/>
          <w:szCs w:val="28"/>
          <w:rtl w:val="true"/>
          <w:lang w:bidi="fa-IR"/>
        </w:rPr>
        <w:t xml:space="preserve">إکراما لما أودع اللّه صلبه من </w:t>
      </w:r>
      <w:r>
        <w:rPr>
          <w:rStyle w:val="FootnoteAnchor"/>
          <w:rtl w:val="true"/>
        </w:rPr>
        <w:footnoteReference w:id="333"/>
      </w:r>
      <w:r>
        <w:rPr>
          <w:rFonts w:ascii="IRNazanin" w:hAnsi="IRNazanin" w:eastAsia="IRNazanin"/>
          <w:color w:val="111111"/>
          <w:sz w:val="28"/>
          <w:sz w:val="28"/>
          <w:szCs w:val="28"/>
          <w:rtl w:val="true"/>
          <w:lang w:bidi="fa-IR"/>
        </w:rPr>
        <w:t>النبی و الأئمّة صلوات اللّه علیهم أجمعین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أَفْضَلُ مِنْ جَبْرَئِیلَ وَ مِیکَائِیلَ وَ إِسْرَافِیلَ ، وَ مِنْ جَمِیعِ اَلْمَلاَئِکَةِ اَلْمُقَرَّبِینَ، وَ مِنْ حَمَلَةِ اَلْعَرْشِ وَ أَنَا خَیْرُ اَلْبَرِیَّةِ، وَ أَنَا سَیِّدُ وُلْدِ آدَمَ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Style w:val="FootnoteAnchor"/>
          <w:rtl w:val="true"/>
        </w:rPr>
        <w:footnoteReference w:id="335"/>
      </w:r>
      <w:r>
        <w:rPr>
          <w:rFonts w:ascii="Amiri" w:hAnsi="Amiri" w:eastAsia="Amiri" w:cs="Amiri"/>
          <w:color w:val="111111"/>
          <w:sz w:val="28"/>
          <w:sz w:val="28"/>
          <w:szCs w:val="28"/>
          <w:rtl w:val="true"/>
          <w:lang w:bidi="ar-SA"/>
        </w:rPr>
        <w:t xml:space="preserve">فلیس ذلک بموجب لتفضیلهم علی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تعالی ذلک، لأنّ الناس منهم من کان یعتقد الربوبیة لعیسی و یتعبّد له و هم صنف من النصاری ، و منهم من عبد الملائکة و هم الصابئون و غیرهم، فقال اللّه عزّ و جلّ لن یستنکف المسیح و المعبودون دونی أن یکونوا عبادا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روحانیون، معصومون، لاٰ یَعْصُونَ اَللّٰهَ مٰا أَمَرَهُمْ، وَ یَفْعَلُونَ مٰا یُؤْمَرُونَ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یأکلون، و لا یشربون، و لا یألمون </w:t>
      </w:r>
      <w:r>
        <w:rPr>
          <w:rStyle w:val="FootnoteAnchor"/>
          <w:rtl w:val="true"/>
        </w:rPr>
        <w:footnoteReference w:id="336"/>
      </w:r>
      <w:r>
        <w:rPr>
          <w:rFonts w:ascii="IRNazanin" w:hAnsi="IRNazanin" w:eastAsia="IRNazanin"/>
          <w:color w:val="111111"/>
          <w:sz w:val="28"/>
          <w:sz w:val="28"/>
          <w:szCs w:val="28"/>
          <w:rtl w:val="true"/>
          <w:lang w:bidi="fa-IR"/>
        </w:rPr>
        <w:t>، و لا یسقمون، و لا یشیبون، و لا یهرمون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طعامهم و شرابهم </w:t>
      </w:r>
      <w:r>
        <w:rPr>
          <w:rStyle w:val="FootnoteAnchor"/>
          <w:rtl w:val="true"/>
        </w:rPr>
        <w:footnoteReference w:id="337"/>
      </w:r>
      <w:r>
        <w:rPr>
          <w:rFonts w:ascii="IRNazanin" w:hAnsi="IRNazanin" w:eastAsia="IRNazanin"/>
          <w:color w:val="111111"/>
          <w:sz w:val="28"/>
          <w:sz w:val="28"/>
          <w:szCs w:val="28"/>
          <w:rtl w:val="true"/>
          <w:lang w:bidi="fa-IR"/>
        </w:rPr>
        <w:t xml:space="preserve">التسبیح و التقدیس، و عیشهم من نسیم </w:t>
      </w:r>
      <w:r>
        <w:rPr>
          <w:rStyle w:val="FootnoteAnchor"/>
          <w:rtl w:val="true"/>
        </w:rPr>
        <w:footnoteReference w:id="338"/>
      </w:r>
      <w:r>
        <w:rPr>
          <w:rFonts w:ascii="IRNazanin" w:hAnsi="IRNazanin" w:eastAsia="IRNazanin"/>
          <w:color w:val="111111"/>
          <w:sz w:val="28"/>
          <w:sz w:val="28"/>
          <w:szCs w:val="28"/>
          <w:rtl w:val="true"/>
          <w:lang w:bidi="fa-IR"/>
        </w:rPr>
        <w:t>العرش ، و تلذذهم بأنواع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اللّه </w:t>
      </w:r>
      <w:r>
        <w:rPr>
          <w:rStyle w:val="FootnoteAnchor"/>
          <w:rtl w:val="true"/>
        </w:rPr>
        <w:footnoteReference w:id="339"/>
      </w:r>
      <w:r>
        <w:rPr>
          <w:rFonts w:ascii="IRNazanin" w:hAnsi="IRNazanin" w:eastAsia="IRNazanin"/>
          <w:color w:val="111111"/>
          <w:sz w:val="28"/>
          <w:sz w:val="28"/>
          <w:szCs w:val="28"/>
          <w:rtl w:val="true"/>
          <w:lang w:bidi="fa-IR"/>
        </w:rPr>
        <w:t xml:space="preserve">أنوارا و أرواحا کما شاء و أراد، و کل صنف منهم یحفظ نوعا ممّا خلق اللّه تعالی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بتفضیل من فضلناه علیهم، لأنّ الحال </w:t>
      </w:r>
      <w:r>
        <w:rPr>
          <w:rStyle w:val="FootnoteAnchor"/>
          <w:rtl w:val="true"/>
        </w:rPr>
        <w:footnoteReference w:id="341"/>
      </w:r>
      <w:r>
        <w:rPr>
          <w:rFonts w:ascii="IRNazanin" w:hAnsi="IRNazanin" w:eastAsia="IRNazanin"/>
          <w:color w:val="111111"/>
          <w:sz w:val="28"/>
          <w:sz w:val="28"/>
          <w:szCs w:val="28"/>
          <w:rtl w:val="true"/>
          <w:lang w:bidi="fa-IR"/>
        </w:rPr>
        <w:t xml:space="preserve">التی یصیرون إلیها </w:t>
      </w:r>
      <w:r>
        <w:rPr>
          <w:rStyle w:val="FootnoteAnchor"/>
          <w:rtl w:val="true"/>
        </w:rPr>
        <w:footnoteReference w:id="342"/>
      </w:r>
      <w:r>
        <w:rPr>
          <w:rFonts w:ascii="IRNazanin" w:hAnsi="IRNazanin" w:eastAsia="IRNazanin"/>
          <w:color w:val="111111"/>
          <w:sz w:val="28"/>
          <w:sz w:val="28"/>
          <w:szCs w:val="28"/>
          <w:rtl w:val="true"/>
          <w:lang w:bidi="fa-IR"/>
        </w:rPr>
        <w:t>أفضل من حال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أحکم</w:t>
      </w:r>
      <w:r>
        <w:rPr>
          <w:rFonts w:eastAsia="IRNazanin" w:cs="IRNazanin"/>
          <w:color w:val="111111"/>
          <w:sz w:val="28"/>
          <w:szCs w:val="28"/>
          <w:rtl w:val="true"/>
          <w:lang w:bidi="fa-IR"/>
        </w:rPr>
        <w:t xml:space="preserve">. </w:t>
      </w:r>
      <w:bookmarkStart w:id="113" w:name="pg20035_204919"/>
    </w:p>
    <w:p>
      <w:pPr>
        <w:pStyle w:val="Heading2"/>
        <w:numPr>
          <w:ilvl w:val="1"/>
          <w:numId w:val="1"/>
        </w:numPr>
        <w:rPr/>
      </w:pPr>
      <w:bookmarkStart w:id="114" w:name="__RefHeading___Toc709784_373438147"/>
      <w:bookmarkStart w:id="115" w:name="_Toc38"/>
      <w:bookmarkEnd w:id="113"/>
      <w:bookmarkEnd w:id="114"/>
      <w:r>
        <w:rPr>
          <w:rtl w:val="true"/>
        </w:rPr>
        <w:t>[</w:t>
      </w:r>
      <w:r>
        <w:rPr/>
        <w:t>35</w:t>
      </w:r>
      <w:r>
        <w:rPr>
          <w:rtl w:val="true"/>
        </w:rPr>
        <w:t>]</w:t>
      </w:r>
      <w:r>
        <w:rPr>
          <w:rtl w:val="true"/>
        </w:rPr>
        <w:t>باب الاعتقاد فی عدد الأنبیاء و الأوصیاء</w:t>
      </w:r>
      <w:r>
        <w:rPr>
          <w:rtl w:val="true"/>
        </w:rPr>
        <w:t>-</w:t>
      </w:r>
      <w:r>
        <w:rPr>
          <w:rtl w:val="true"/>
        </w:rPr>
        <w:t>علیهم السّلام</w:t>
      </w:r>
      <w:r>
        <w:rPr>
          <w:rtl w:val="true"/>
        </w:rPr>
        <w:t>-</w:t>
      </w:r>
      <w:bookmarkEnd w:id="1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عددهم أنّهم مائة ألف نبی و أربعة و عشرون ألف نبی، و مائة ألف وصی و أربعة و عشرون ألف وصی </w:t>
      </w:r>
      <w:r>
        <w:rPr>
          <w:rStyle w:val="FootnoteAnchor"/>
          <w:rtl w:val="true"/>
        </w:rPr>
        <w:footnoteReference w:id="343"/>
      </w:r>
      <w:r>
        <w:rPr>
          <w:rFonts w:ascii="IRNazanin" w:hAnsi="IRNazanin" w:eastAsia="IRNazanin"/>
          <w:color w:val="111111"/>
          <w:sz w:val="28"/>
          <w:sz w:val="28"/>
          <w:szCs w:val="28"/>
          <w:rtl w:val="true"/>
          <w:lang w:bidi="fa-IR"/>
        </w:rPr>
        <w:t>، لکل نبی منهم وصی أوصی إلیه بأمر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نعتقد فیهم أنّهم جاءوا بالحق من عند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Style w:val="FootnoteAnchor"/>
          <w:rtl w:val="true"/>
        </w:rPr>
        <w:footnoteReference w:id="344"/>
      </w:r>
      <w:r>
        <w:rPr>
          <w:rFonts w:ascii="IRNazanin" w:hAnsi="IRNazanin" w:eastAsia="IRNazanin"/>
          <w:color w:val="111111"/>
          <w:sz w:val="28"/>
          <w:sz w:val="28"/>
          <w:szCs w:val="28"/>
          <w:rtl w:val="true"/>
          <w:lang w:bidi="fa-IR"/>
        </w:rPr>
        <w:t>قولهم قول اللّه تعالی، و أمرهم أمر اللّه تعالی، و طاعتهم طاعة اللّه تعالی، و معصیتهم معصیة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ینطقوا إلاّ عن اللّه تعالی و عن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سادة الأنبیاء خمسة الذین علیهم دارت الرحی </w:t>
      </w:r>
      <w:r>
        <w:rPr>
          <w:rStyle w:val="FootnoteAnchor"/>
          <w:rtl w:val="true"/>
        </w:rPr>
        <w:footnoteReference w:id="345"/>
      </w:r>
      <w:r>
        <w:rPr>
          <w:rFonts w:ascii="IRNazanin" w:hAnsi="IRNazanin" w:eastAsia="IRNazanin"/>
          <w:color w:val="111111"/>
          <w:sz w:val="28"/>
          <w:sz w:val="28"/>
          <w:szCs w:val="28"/>
          <w:rtl w:val="true"/>
          <w:lang w:bidi="fa-IR"/>
        </w:rPr>
        <w:t>و هم أصحاب الشرائع، و هم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و إبراهیم ، و موسی ، و عیسی ، و محمد ،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محمدا سیّدهم و أفضلهم، و أنّه </w:t>
      </w:r>
      <w:r>
        <w:rPr>
          <w:rStyle w:val="FootnoteAnchor"/>
          <w:rtl w:val="true"/>
        </w:rPr>
        <w:footnoteReference w:id="346"/>
      </w:r>
      <w:r>
        <w:rPr>
          <w:rFonts w:ascii="Amiri" w:hAnsi="Amiri" w:eastAsia="Amiri" w:cs="Amiri"/>
          <w:color w:val="111111"/>
          <w:sz w:val="28"/>
          <w:sz w:val="28"/>
          <w:szCs w:val="28"/>
          <w:rtl w:val="true"/>
          <w:lang w:bidi="ar-SA"/>
        </w:rPr>
        <w:t xml:space="preserve">جٰاءَ بِالْحَقِّ وَ صَدَّقَ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کذبوا لَذٰائِقُوا اَلْعَذٰابِ اَلْأَلِیمِ </w:t>
      </w:r>
      <w:r>
        <w:rPr>
          <w:rStyle w:val="FootnoteAnchor"/>
          <w:rtl w:val="true"/>
        </w:rPr>
        <w:footnoteReference w:id="347"/>
      </w:r>
      <w:r>
        <w:rPr>
          <w:rFonts w:ascii="Amiri" w:hAnsi="Amiri" w:eastAsia="Amiri" w:cs="Amiri"/>
          <w:color w:val="111111"/>
          <w:sz w:val="28"/>
          <w:sz w:val="28"/>
          <w:szCs w:val="28"/>
          <w:rtl w:val="true"/>
          <w:lang w:bidi="ar-SA"/>
        </w:rPr>
        <w:t xml:space="preserve">، و أنّ </w:t>
      </w:r>
    </w:p>
    <w:p>
      <w:pPr>
        <w:pStyle w:val="BookText"/>
        <w:rPr/>
      </w:pP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أن نعتقد أنّ اللّه تعالی لم یخلق خلقا أفضل من محمد و الأئمّة ، و أنّهم أحبّ الخلق إلی اللّه، و أکرمهم علیه </w:t>
      </w:r>
      <w:r>
        <w:rPr>
          <w:rStyle w:val="FootnoteAnchor"/>
          <w:rtl w:val="true"/>
        </w:rPr>
        <w:footnoteReference w:id="349"/>
      </w:r>
      <w:r>
        <w:rPr>
          <w:rFonts w:ascii="Amiri" w:hAnsi="Amiri" w:eastAsia="Amiri" w:cs="Amiri"/>
          <w:color w:val="111111"/>
          <w:sz w:val="28"/>
          <w:sz w:val="28"/>
          <w:szCs w:val="28"/>
          <w:rtl w:val="true"/>
          <w:lang w:bidi="ar-SA"/>
        </w:rPr>
        <w:t xml:space="preserve">، و أوّلهم إقرارا به لما أخذ اللّه میثاق النبیین وَ أَشْهَدَهُمْ عَلیٰ أَنْفُسِهِمْ أَ لَسْتُ بِرَبِّکُمْ قٰالُوا بَلیٰ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تعالی بعث نبیّه محمدا صلّی اللّه علیه و آله و سلّم إلی الأنبیاء فی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تعالی أعطی ما أعطی کل نبی علی قدر معرفته نبیّنا ، و سبقه إلی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w:t>
      </w:r>
      <w:r>
        <w:rPr>
          <w:rStyle w:val="FootnoteAnchor"/>
          <w:rtl w:val="true"/>
        </w:rPr>
        <w:footnoteReference w:id="351"/>
      </w:r>
      <w:r>
        <w:rPr>
          <w:rFonts w:ascii="IRNazanin" w:hAnsi="IRNazanin" w:eastAsia="IRNazanin"/>
          <w:color w:val="111111"/>
          <w:sz w:val="28"/>
          <w:sz w:val="28"/>
          <w:szCs w:val="28"/>
          <w:rtl w:val="true"/>
          <w:lang w:bidi="fa-IR"/>
        </w:rPr>
        <w:t xml:space="preserve">اللّه تعالی خلق جمیع ما خلق له و لأهل بیته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لولاهم لما خلق اللّه السماء و الأرض، و لا الجنّة و لا النّار ، و لا آدم و لا حواء ، و لا الملائکة و لا شیئا ممّا خلق </w:t>
      </w:r>
      <w:r>
        <w:rPr>
          <w:rStyle w:val="FootnoteAnchor"/>
          <w:rtl w:val="true"/>
        </w:rPr>
        <w:footnoteReference w:id="353"/>
      </w:r>
      <w:r>
        <w:rPr>
          <w:rFonts w:ascii="IRNazanin" w:hAnsi="IRNazanin" w:eastAsia="IRNazanin"/>
          <w:color w:val="111111"/>
          <w:sz w:val="28"/>
          <w:sz w:val="28"/>
          <w:szCs w:val="28"/>
          <w:rtl w:val="true"/>
          <w:lang w:bidi="fa-IR"/>
        </w:rPr>
        <w:t>،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أنّ حجج اللّه تعالی علی خلقه بعد نبیّه محمد صلّی اللّه علیه و آله و سلّم 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أمیر المؤمنین علیّ بن أبی طالب ، ثمّ الحسن ، ثمّ الحسین ، ثم علی بن الحسین ، ثمّ محمد بن علی ، ثمّ جعفر بن محمد ، ثمّ موسی بن جعفر ، ثمّ علی بن موسی ، ثمّ محمد بن علی ، ثمّ علی بن محمد ، ثمّ الحسن بن علی ، ثمّ محمد بن الحسن الحجة القائم صاحب الزمان خلیفة اللّه فی أرضه، صلوات اللّه علیهم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أجمعین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اولوا الأمر الّذین أمر اللّه تعالی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الشهداء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أبواب اللّه، و السبیل إلیه، و الأدلاّء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عیبة علمه، و تراجمة وحیه </w:t>
      </w:r>
      <w:r>
        <w:rPr>
          <w:rStyle w:val="FootnoteAnchor"/>
          <w:rtl w:val="true"/>
        </w:rPr>
        <w:footnoteReference w:id="355"/>
      </w:r>
      <w:r>
        <w:rPr>
          <w:rFonts w:ascii="Amiri" w:hAnsi="Amiri" w:eastAsia="Amiri" w:cs="Amiri"/>
          <w:color w:val="111111"/>
          <w:sz w:val="28"/>
          <w:sz w:val="28"/>
          <w:szCs w:val="28"/>
          <w:rtl w:val="true"/>
          <w:lang w:bidi="ar-SA"/>
        </w:rPr>
        <w:t>و أرکان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معصومون من الخطأ و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الّذین أذهب اللّه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لهم المعجزات و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أمان لأهل الأرض، کما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مثلهم فی هذه الأمّة کسفینة نوح أو کباب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عباد اللّه المکرمون الّذین 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فیهم أنّ حبّهم إیمان، و بغضهم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أمرهم أمر اللّه تعالی، و نهیهم نهی اللّه تعالی، و طاعتهم طاعة اللّه تعالی، و ولیّهم ولی اللّه تعالی، و عدوّهم عدو اللّه تعالی، و معصیتهم معصیة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أنّ الأرض لا تخلو من حجّة للّه علی خلقه، إمّا ظاهر مشهور أو خائف مغمور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نعتقد أنّ حجّة اللّه فی أرضه، و خلیفته علی عباده فی زماننا هذا، هو القائم المنتظر محمد بن الحسن بن علی بن محمد بن علی بن موسی بن جعفر بن محمد بن علی بن الحسین بن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الذی أخبر به النبیّ صلّی اللّه علیه و آله و سلّم عن اللّه عزّ و جلّ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الذی یملأ الأرض قسطا و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الذی یظهر اللّه به دینه،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الذی یفتح اللّه علی یدیه مشارق الأرض و مغاربها، حتی لا یبقی فی الأرض مکان إلاّ نودی فیه بالأذان، وَ یَکُونَ اَلدِّینُ کُلُّهُ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المهدی الذی اخبر به</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سَلَّمَ أَنَّهُ </w:t>
      </w:r>
      <w:r>
        <w:rPr>
          <w:rStyle w:val="FootnoteAnchor"/>
          <w:rtl w:val="true"/>
        </w:rPr>
        <w:footnoteReference w:id="356"/>
      </w:r>
      <w:r>
        <w:rPr>
          <w:rFonts w:ascii="Amiri" w:hAnsi="Amiri" w:eastAsia="Amiri" w:cs="Amiri"/>
          <w:color w:val="111111"/>
          <w:sz w:val="28"/>
          <w:sz w:val="28"/>
          <w:szCs w:val="28"/>
          <w:rtl w:val="true"/>
          <w:lang w:bidi="ar-SA"/>
        </w:rPr>
        <w:t xml:space="preserve">إِذَا خَرَجَ نَزَلَ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خَلْفَهُ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یکون المصلّی </w:t>
      </w:r>
      <w:r>
        <w:rPr>
          <w:rStyle w:val="FootnoteAnchor"/>
          <w:rtl w:val="true"/>
        </w:rPr>
        <w:footnoteReference w:id="357"/>
      </w:r>
      <w:r>
        <w:rPr>
          <w:rFonts w:ascii="IRNazanin" w:hAnsi="IRNazanin" w:eastAsia="IRNazanin"/>
          <w:color w:val="111111"/>
          <w:sz w:val="28"/>
          <w:sz w:val="28"/>
          <w:szCs w:val="28"/>
          <w:rtl w:val="true"/>
          <w:lang w:bidi="fa-IR"/>
        </w:rPr>
        <w:t xml:space="preserve">إذا صلّی خلفه کمن کان </w:t>
      </w:r>
      <w:r>
        <w:rPr>
          <w:rStyle w:val="FootnoteAnchor"/>
          <w:rtl w:val="true"/>
        </w:rPr>
        <w:footnoteReference w:id="358"/>
      </w:r>
      <w:r>
        <w:rPr>
          <w:rFonts w:ascii="IRNazanin" w:hAnsi="IRNazanin" w:eastAsia="IRNazanin"/>
          <w:color w:val="111111"/>
          <w:sz w:val="28"/>
          <w:sz w:val="28"/>
          <w:szCs w:val="28"/>
          <w:rtl w:val="true"/>
          <w:lang w:bidi="fa-IR"/>
        </w:rPr>
        <w:t>مصلّیا خلف رسول اللّه ، لأنّه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نعتقد أنّه لا یجوز أن یکون القائم غیره، بقی فی غیبته ما بقی، و لو بقی فی </w:t>
      </w:r>
      <w:r>
        <w:rPr>
          <w:rStyle w:val="FootnoteAnchor"/>
          <w:rtl w:val="true"/>
        </w:rPr>
        <w:footnoteReference w:id="359"/>
      </w:r>
      <w:r>
        <w:rPr>
          <w:rFonts w:ascii="IRNazanin" w:hAnsi="IRNazanin" w:eastAsia="IRNazanin"/>
          <w:color w:val="111111"/>
          <w:sz w:val="28"/>
          <w:sz w:val="28"/>
          <w:szCs w:val="28"/>
          <w:rtl w:val="true"/>
          <w:lang w:bidi="fa-IR"/>
        </w:rPr>
        <w:t xml:space="preserve">غیبته عمر الدنیا لم یکن القائم غیره، لأنّ النبیّ صلّی اللّه علیه و آله و سلّم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دلّوا علیه باسمه و نسبه، و به نصّوا، و به بشّروا </w:t>
      </w:r>
      <w:r>
        <w:rPr>
          <w:rStyle w:val="FootnoteAnchor"/>
          <w:rtl w:val="true"/>
        </w:rPr>
        <w:footnoteReference w:id="360"/>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أخرجت هذا الفصل من </w:t>
      </w:r>
      <w:r>
        <w:rPr>
          <w:rStyle w:val="FootnoteAnchor"/>
          <w:rtl w:val="true"/>
        </w:rPr>
        <w:footnoteReference w:id="361"/>
      </w:r>
      <w:r>
        <w:rPr>
          <w:rFonts w:ascii="IRNazanin" w:hAnsi="IRNazanin" w:eastAsia="IRNazanin"/>
          <w:color w:val="111111"/>
          <w:sz w:val="28"/>
          <w:sz w:val="28"/>
          <w:szCs w:val="28"/>
          <w:rtl w:val="true"/>
          <w:lang w:bidi="fa-IR"/>
        </w:rPr>
        <w:t xml:space="preserve">کتاب الهدایة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16" w:name="pg20035_204923"/>
    </w:p>
    <w:p>
      <w:pPr>
        <w:pStyle w:val="Heading2"/>
        <w:numPr>
          <w:ilvl w:val="1"/>
          <w:numId w:val="1"/>
        </w:numPr>
        <w:rPr/>
      </w:pPr>
      <w:bookmarkStart w:id="117" w:name="__RefHeading___Toc709786_373438147"/>
      <w:bookmarkStart w:id="118" w:name="_Toc39"/>
      <w:bookmarkEnd w:id="116"/>
      <w:bookmarkEnd w:id="117"/>
      <w:r>
        <w:rPr>
          <w:rtl w:val="true"/>
        </w:rPr>
        <w:t>[</w:t>
      </w:r>
      <w:r>
        <w:rPr/>
        <w:t>36</w:t>
      </w:r>
      <w:r>
        <w:rPr>
          <w:rtl w:val="true"/>
        </w:rPr>
        <w:t>]</w:t>
      </w:r>
      <w:r>
        <w:rPr>
          <w:rtl w:val="true"/>
        </w:rPr>
        <w:t>باب الاعتقاد فی العصمة</w:t>
      </w:r>
      <w:bookmarkEnd w:id="1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فی الأنبیاء و الرسل و الأئمّة و الملائکة صلوات اللّه علیهم أنّهم معصومون مطهّرون من کل دنس، و أنّهم لا یذنبون ذنبا، لا صغیرا و لا کبیرا، و 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نفی عنهم العصمة فی شیء من أحوالهم فقد جهلهم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فیهم أنّهم موصوفون بالکمال و التمام </w:t>
      </w:r>
      <w:r>
        <w:rPr>
          <w:rStyle w:val="FootnoteAnchor"/>
          <w:rtl w:val="true"/>
        </w:rPr>
        <w:footnoteReference w:id="364"/>
      </w:r>
      <w:r>
        <w:rPr>
          <w:rFonts w:ascii="IRNazanin" w:hAnsi="IRNazanin" w:eastAsia="IRNazanin"/>
          <w:color w:val="111111"/>
          <w:sz w:val="28"/>
          <w:sz w:val="28"/>
          <w:szCs w:val="28"/>
          <w:rtl w:val="true"/>
          <w:lang w:bidi="fa-IR"/>
        </w:rPr>
        <w:t xml:space="preserve">و العلم من أوائل امورهم إلی أواخرها، لا یوصفون فی شیء من أحوالهم بنقص و لا عصیان </w:t>
      </w:r>
      <w:r>
        <w:rPr>
          <w:rStyle w:val="FootnoteAnchor"/>
          <w:rtl w:val="true"/>
        </w:rPr>
        <w:footnoteReference w:id="365"/>
      </w:r>
      <w:r>
        <w:rPr>
          <w:rFonts w:ascii="IRNazanin" w:hAnsi="IRNazanin" w:eastAsia="IRNazanin"/>
          <w:color w:val="111111"/>
          <w:sz w:val="28"/>
          <w:sz w:val="28"/>
          <w:szCs w:val="28"/>
          <w:rtl w:val="true"/>
          <w:lang w:bidi="fa-IR"/>
        </w:rPr>
        <w:t>و لا جهل</w:t>
      </w:r>
      <w:r>
        <w:rPr>
          <w:rFonts w:eastAsia="IRNazanin" w:cs="IRNazanin"/>
          <w:color w:val="111111"/>
          <w:sz w:val="28"/>
          <w:szCs w:val="28"/>
          <w:rtl w:val="true"/>
          <w:lang w:bidi="fa-IR"/>
        </w:rPr>
        <w:t xml:space="preserve">. </w:t>
      </w:r>
      <w:bookmarkStart w:id="119" w:name="pg20035_204924"/>
    </w:p>
    <w:p>
      <w:pPr>
        <w:pStyle w:val="Heading2"/>
        <w:numPr>
          <w:ilvl w:val="1"/>
          <w:numId w:val="1"/>
        </w:numPr>
        <w:rPr/>
      </w:pPr>
      <w:bookmarkStart w:id="120" w:name="__RefHeading___Toc709788_373438147"/>
      <w:bookmarkStart w:id="121" w:name="_Toc40"/>
      <w:bookmarkEnd w:id="119"/>
      <w:bookmarkEnd w:id="120"/>
      <w:r>
        <w:rPr>
          <w:rtl w:val="true"/>
        </w:rPr>
        <w:t>[</w:t>
      </w:r>
      <w:r>
        <w:rPr/>
        <w:t>37</w:t>
      </w:r>
      <w:r>
        <w:rPr>
          <w:rtl w:val="true"/>
        </w:rPr>
        <w:t>]</w:t>
      </w:r>
      <w:r>
        <w:rPr>
          <w:rtl w:val="true"/>
        </w:rPr>
        <w:t>باب الاعتقاد فی نفی الغلو و التفویض</w:t>
      </w:r>
      <w:bookmarkEnd w:id="121"/>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الغلاة و المفوضة أنّهم کفّار باللّه تعالی، و أنّهم أشرّ من الیهود و النصاری و المجوس و القدریة و الحروریة </w:t>
      </w:r>
      <w:r>
        <w:rPr>
          <w:rStyle w:val="FootnoteAnchor"/>
          <w:rtl w:val="true"/>
        </w:rPr>
        <w:footnoteReference w:id="366"/>
      </w:r>
      <w:r>
        <w:rPr>
          <w:rFonts w:ascii="Amiri" w:hAnsi="Amiri" w:eastAsia="Amiri" w:cs="Amiri"/>
          <w:color w:val="111111"/>
          <w:sz w:val="28"/>
          <w:sz w:val="28"/>
          <w:szCs w:val="28"/>
          <w:rtl w:val="true"/>
          <w:lang w:bidi="ar-SA"/>
        </w:rPr>
        <w:t>و من جمیع أهل البدع و الأهواء المضلّة، و انّه ما صغّر اللّه جل جلاله تصغیرهم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تَغْلُوا فِی دِینِکُمْ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فی النبیّ صلّی اللّه علیه و آله و سلّم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 فِی غَزْوَةِ خَیْبَرَ </w:t>
      </w:r>
      <w:r>
        <w:rPr>
          <w:rStyle w:val="FootnoteAnchor"/>
          <w:rtl w:val="true"/>
        </w:rPr>
        <w:footnoteReference w:id="369"/>
      </w:r>
      <w:r>
        <w:rPr>
          <w:rFonts w:ascii="Amiri" w:hAnsi="Amiri" w:eastAsia="Amiri" w:cs="Amiri"/>
          <w:color w:val="111111"/>
          <w:sz w:val="28"/>
          <w:sz w:val="28"/>
          <w:szCs w:val="28"/>
          <w:rtl w:val="true"/>
          <w:lang w:bidi="ar-SA"/>
        </w:rPr>
        <w:t xml:space="preserve">، فَمَا زَالَتْ هَذِهِ اَلْأَکْلَةُ تعاده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قَطَعَتْ أَبْهَرَهُ </w:t>
      </w:r>
      <w:r>
        <w:rPr>
          <w:rStyle w:val="FootnoteAnchor"/>
          <w:rtl w:val="true"/>
        </w:rPr>
        <w:footnoteReference w:id="370"/>
      </w:r>
      <w:r>
        <w:rPr>
          <w:rFonts w:ascii="Amiri" w:hAnsi="Amiri" w:eastAsia="Amiri" w:cs="Amiri"/>
          <w:color w:val="111111"/>
          <w:sz w:val="28"/>
          <w:sz w:val="28"/>
          <w:szCs w:val="28"/>
          <w:rtl w:val="true"/>
          <w:lang w:bidi="ar-SA"/>
        </w:rPr>
        <w:t>فَمَاتَ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عَبْدُ اَلرَّحْمَنِ بْنُ مُلْجَمٍ لَعَنَهُ اَللَّهُ، وَ دُفِنَ بِالْغَرِیِّ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اِمْرَأَتُهُ جَعْدَةُ بِنْتُ اَلْأَشْعَثِ اَلْکِنْدِیِّ ، فَمَاتَ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بِکَرْبَلاَءَ ، وَ قَاتِلُهُ سِنَانُ بْنُ أَنَسٍ لَعَنَهُ اَللَّهُ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اَلْحُسَیْنِ سَیِّدُ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اَلْوَلِیدُ بْنُ عَبْدِ اَلْمَلِکِ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إِبْرَاهِیمُ بْنُ وَلِیدٍ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اَلْمَنْصُورُ فَقَتَلَهُ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هَارُونُ اَلرَّشِیدُ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اَلْمَأْمُونُ بِالسَّمِّ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اَلْمُعْتَصِمُ بِالسَّمِّ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اَلْمُعْتَضِدُ </w:t>
      </w:r>
      <w:r>
        <w:rPr>
          <w:rStyle w:val="FootnoteAnchor"/>
          <w:rtl w:val="true"/>
        </w:rPr>
        <w:footnoteReference w:id="373"/>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اَلْمُعْتَمِدُ </w:t>
      </w:r>
      <w:r>
        <w:rPr>
          <w:rStyle w:val="FootnoteAnchor"/>
          <w:rtl w:val="true"/>
        </w:rPr>
        <w:footnoteReference w:id="374"/>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اعتقادنا فی ذلک أنّه جری علیهم علی الحقیقة، و أنّه ما شبّه للناس أمرهم کما یزعمه من یتجاوز الحدّ فیهم </w:t>
      </w:r>
      <w:r>
        <w:rPr>
          <w:rStyle w:val="FootnoteAnchor"/>
          <w:rtl w:val="true"/>
        </w:rPr>
        <w:footnoteReference w:id="375"/>
      </w:r>
      <w:r>
        <w:rPr>
          <w:rFonts w:ascii="Amiri" w:hAnsi="Amiri" w:eastAsia="Amiri" w:cs="Amiri"/>
          <w:color w:val="111111"/>
          <w:sz w:val="28"/>
          <w:sz w:val="28"/>
          <w:szCs w:val="28"/>
          <w:rtl w:val="true"/>
          <w:lang w:bidi="ar-SA"/>
        </w:rPr>
        <w:t>، بل شاهدوا قتلهم علی الحقیقة و الصحة، لا علی الحسبان و الخیلولة، و لا علی الشک 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أنّهم شبّهوا، أو واحد منهم، فلیس من دیننا علی شیء، و نحن منه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مقتولون، فمن قال إنّهم لم یقتلوا فقد کذّبهم، و من کذّبهم فقد کذّب اللّه و کفر به و خرج من الإسلام ، وَ مَنْ یَبْتَغِ غَیْرَ اَلْإِسْلاٰمِ دِیناً فَلَنْ یُقْبَلَ مِنْهُ وَ هُوَ فِی اَلْآخِرَةِ مِنَ اَلْخٰاسِرِینَ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إِنِّی أَبْرَأُ إِلَیْکَ مِنَ اَلْحَوْلِ وَ اَلْقُوَّةِ، فَلاَ حَوْلَ وَ لاَ قُوَّةَ إِلاَّ بِکَ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مِنَ اَلَّذِینَ اِدَّعَوْا لَنَا مَا لَیْسَ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مِنَ اَلَّذِینَ قَالُوا فِینَا مَا لَمْ نَقُلْهُ فِی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اَلْخَلْقُ </w:t>
      </w:r>
      <w:r>
        <w:rPr>
          <w:rStyle w:val="FootnoteAnchor"/>
          <w:rtl w:val="true"/>
        </w:rPr>
        <w:footnoteReference w:id="378"/>
      </w:r>
      <w:r>
        <w:rPr>
          <w:rFonts w:ascii="Amiri" w:hAnsi="Amiri" w:eastAsia="Amiri" w:cs="Amiri"/>
          <w:color w:val="111111"/>
          <w:sz w:val="28"/>
          <w:sz w:val="28"/>
          <w:szCs w:val="28"/>
          <w:rtl w:val="true"/>
          <w:lang w:bidi="ar-SA"/>
        </w:rPr>
        <w:t xml:space="preserve">وَ مِنْکَ اَلْأَمْرُ، وَ 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خَالِقُنَا وَ خَالِقُ آبَائِنَا اَلْأَوَّلِینَ وَ آبَائِنَا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تَلِیقُ اَلرُّبُوبِیَّةُ إِلاَّ بِکَ، وَ لاَ تَصْلُحُ اَلْإِلَهِیَّةُ إِلاَّ لَکَ، فَالْعَنِ اَلنَّصَارَی اَلَّذِینَ صَغَّرُوا عَظَمَتَکَ، وَ اِلْعَنِ اَلْمُضَاهِینَ لِقَوْلِهِمْ مِنْ بَرِیَّتِکَ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عَبِیدُکَ وَ أَبْنَاءُ عَبِیدِکَ، لاَ نَمْلِکُ لِأَنْفُسِنَا ضَرّاً وَ لاَ نَفْعاً وَ لاَ مَوْتاً وَ لاَ حَیَاةً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زَعَمَ أَنَّنَا أَرْبَابٌ فَنَحْنُ إِلَیْکَ مِنْهُ بِرَاءٌ، وَ مَنْ زَعَمَ أَنَّ إِلَیْنَا اَلْخَلْقَ وَ عَلَیْنَا اَلرِّزْقَ فَنَحْنُ إِلَیْکَ </w:t>
      </w:r>
      <w:r>
        <w:rPr>
          <w:rStyle w:val="FootnoteAnchor"/>
          <w:rtl w:val="true"/>
        </w:rPr>
        <w:footnoteReference w:id="379"/>
      </w:r>
      <w:r>
        <w:rPr>
          <w:rFonts w:ascii="Amiri" w:hAnsi="Amiri" w:eastAsia="Amiri" w:cs="Amiri"/>
          <w:color w:val="111111"/>
          <w:sz w:val="28"/>
          <w:sz w:val="28"/>
          <w:szCs w:val="28"/>
          <w:rtl w:val="true"/>
          <w:lang w:bidi="ar-SA"/>
        </w:rPr>
        <w:t xml:space="preserve">مِنْهُ بِرَاءٌ کَبَرَاءَةِ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لَمْ نَدْعُهُمْ إِلَی مَا یَزْعُمُونَ، فَلاَ تُؤَاخِذْنَا بِمَا یَقُولُونَ وَ اِغْفِرْ لَنَا مَا یَزْعُمُونَ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زُرَارَةَ أَنَّهُ قَالَ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عَبْدِ اَللَّهِ بْنِ سَبَأٍ یَقُولُ بِالتَّفْوِیضِ،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اَلتَّفْوِیضُ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مُحَمَّداً صَلَّی اَللَّهُ عَلَیْهِ وَ آلِهِ وَ سَلَّمَ 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فَوَّضَ اَلْأَمْرَ </w:t>
      </w:r>
      <w:r>
        <w:rPr>
          <w:rStyle w:val="FootnoteAnchor"/>
          <w:rtl w:val="true"/>
        </w:rPr>
        <w:footnoteReference w:id="382"/>
      </w:r>
      <w:r>
        <w:rPr>
          <w:rFonts w:ascii="Amiri" w:hAnsi="Amiri" w:eastAsia="Amiri" w:cs="Amiri"/>
          <w:color w:val="111111"/>
          <w:sz w:val="28"/>
          <w:sz w:val="28"/>
          <w:szCs w:val="28"/>
          <w:rtl w:val="true"/>
          <w:lang w:bidi="ar-SA"/>
        </w:rPr>
        <w:t>إِلَیْهِمَا، فَخَلَقَا، وَ رَزَقَا، وَ أَحْیَیَا، وَ أَمَاتَا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 عَدُوُّ اَللَّهِ، إِذَا رَجَعْتَ إِلَیْهِ فَاقْرَأْ عَلَیْهِ اَلْآیَةَ اَلَّتِی فِی سُورَةِ اَلرَّعْدِ أَمْ جَعَلُوا لِلّٰهِ شُرَکٰاءَ خَلَقُوا کَخَلْقِهِ فَتَشٰابَهَ اَلْخَلْقُ عَلَیْهِمْ قُلِ اَللّٰهُ خٰالِقُ کُلِّ شَیْءٍ وَ هُوَ اَلْوٰاحِدُ اَلْقَهّٰارُ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إِلَی اَلرَّجُلِ فَأَخْبَرْتُهُ بِمَا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فَکَأَنَّمَا أَلْقَمْتُهُ حَجَراً،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خَرِسَ</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فوّض اللّه تعالی إلی نبیّه صلّی اللّه علیه و آله و سلّم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385"/>
      </w:r>
      <w:r>
        <w:rPr>
          <w:rFonts w:ascii="IRNazanin" w:hAnsi="IRNazanin" w:eastAsia="IRNazanin"/>
          <w:color w:val="111111"/>
          <w:sz w:val="28"/>
          <w:sz w:val="28"/>
          <w:szCs w:val="28"/>
          <w:rtl w:val="true"/>
          <w:lang w:bidi="fa-IR"/>
        </w:rPr>
        <w:t xml:space="preserve">و قد فوّض ذلک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المفوضة و الغلاة و أصنافهم نسبتهم </w:t>
      </w:r>
      <w:r>
        <w:rPr>
          <w:rStyle w:val="FootnoteAnchor"/>
          <w:rtl w:val="true"/>
        </w:rPr>
        <w:footnoteReference w:id="386"/>
      </w:r>
      <w:r>
        <w:rPr>
          <w:rFonts w:ascii="IRNazanin" w:hAnsi="IRNazanin" w:eastAsia="IRNazanin"/>
          <w:color w:val="111111"/>
          <w:sz w:val="28"/>
          <w:sz w:val="28"/>
          <w:szCs w:val="28"/>
          <w:rtl w:val="true"/>
          <w:lang w:bidi="fa-IR"/>
        </w:rPr>
        <w:t>مشایخ قم و علماءهم إلی القول بالتقصیر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الحلاجیة من الغلاة دعوی التجلّی </w:t>
      </w:r>
      <w:r>
        <w:rPr>
          <w:rStyle w:val="FootnoteAnchor"/>
          <w:rtl w:val="true"/>
        </w:rPr>
        <w:footnoteReference w:id="387"/>
      </w:r>
      <w:r>
        <w:rPr>
          <w:rFonts w:ascii="IRNazanin" w:hAnsi="IRNazanin" w:eastAsia="IRNazanin"/>
          <w:color w:val="111111"/>
          <w:sz w:val="28"/>
          <w:sz w:val="28"/>
          <w:szCs w:val="28"/>
          <w:rtl w:val="true"/>
          <w:lang w:bidi="fa-IR"/>
        </w:rPr>
        <w:t xml:space="preserve">بالعبادة مع تدیّنهم </w:t>
      </w:r>
      <w:r>
        <w:rPr>
          <w:rStyle w:val="FootnoteAnchor"/>
          <w:rtl w:val="true"/>
        </w:rPr>
        <w:footnoteReference w:id="388"/>
      </w:r>
      <w:r>
        <w:rPr>
          <w:rFonts w:ascii="IRNazanin" w:hAnsi="IRNazanin" w:eastAsia="IRNazanin"/>
          <w:color w:val="111111"/>
          <w:sz w:val="28"/>
          <w:sz w:val="28"/>
          <w:szCs w:val="28"/>
          <w:rtl w:val="true"/>
          <w:lang w:bidi="fa-IR"/>
        </w:rPr>
        <w:t xml:space="preserve">بترک الصلاة و جمیع الفرائض، و دعوی المعرفة بأسماء اللّه العظمی، و دعوی اتباع الجنّ </w:t>
      </w:r>
      <w:r>
        <w:rPr>
          <w:rStyle w:val="FootnoteAnchor"/>
          <w:rtl w:val="true"/>
        </w:rPr>
        <w:footnoteReference w:id="389"/>
      </w:r>
      <w:r>
        <w:rPr>
          <w:rFonts w:ascii="IRNazanin" w:hAnsi="IRNazanin" w:eastAsia="IRNazanin"/>
          <w:color w:val="111111"/>
          <w:sz w:val="28"/>
          <w:sz w:val="28"/>
          <w:szCs w:val="28"/>
          <w:rtl w:val="true"/>
          <w:lang w:bidi="fa-IR"/>
        </w:rPr>
        <w:t xml:space="preserve">لهم، و أنّ الولی إذا خلص و عرف مذهبهم فهو عندهم أفضل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علاماتهم أیضا دعوی علم الکیمیاء و لا یعلمون منه </w:t>
      </w:r>
      <w:r>
        <w:rPr>
          <w:rStyle w:val="FootnoteAnchor"/>
          <w:rtl w:val="true"/>
        </w:rPr>
        <w:footnoteReference w:id="390"/>
      </w:r>
      <w:r>
        <w:rPr>
          <w:rFonts w:ascii="IRNazanin" w:hAnsi="IRNazanin" w:eastAsia="IRNazanin"/>
          <w:color w:val="111111"/>
          <w:sz w:val="28"/>
          <w:sz w:val="28"/>
          <w:szCs w:val="28"/>
          <w:rtl w:val="true"/>
          <w:lang w:bidi="fa-IR"/>
        </w:rPr>
        <w:t xml:space="preserve">إلاّ الدغل و تنفیق الشبه و الرصاص علی المسلمین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122" w:name="pg20035_204929"/>
    </w:p>
    <w:p>
      <w:pPr>
        <w:pStyle w:val="Heading2"/>
        <w:numPr>
          <w:ilvl w:val="1"/>
          <w:numId w:val="1"/>
        </w:numPr>
        <w:rPr/>
      </w:pPr>
      <w:bookmarkStart w:id="123" w:name="__RefHeading___Toc709790_373438147"/>
      <w:bookmarkStart w:id="124" w:name="_Toc41"/>
      <w:bookmarkEnd w:id="122"/>
      <w:bookmarkEnd w:id="123"/>
      <w:r>
        <w:rPr>
          <w:rtl w:val="true"/>
        </w:rPr>
        <w:t>[</w:t>
      </w:r>
      <w:r>
        <w:rPr/>
        <w:t>38</w:t>
      </w:r>
      <w:r>
        <w:rPr>
          <w:rtl w:val="true"/>
        </w:rPr>
        <w:t>]</w:t>
      </w:r>
      <w:r>
        <w:rPr>
          <w:rtl w:val="true"/>
        </w:rPr>
        <w:t>باب الاعتقاد فی الظالمین</w:t>
      </w:r>
      <w:bookmarkEnd w:id="124"/>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فیهم أنّهم ملعونون، و البراءة منهم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اَلَّذِینَ یَصُدُّونَ عَنْ سَبِیلِ اَللّٰهِ وَ یَبْغُونَهٰا عِوَجاً وَ هُمْ بِالْآخِرَةِ هُمْ کٰافِرُونَ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سَبِیلَ اَللَّهِ فِی هَذَا اَلْمَوْضِعِ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فی کتاب اللّه تعالی إمامان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هدی </w:t>
      </w:r>
      <w:r>
        <w:rPr>
          <w:rStyle w:val="FootnoteAnchor"/>
          <w:rtl w:val="true"/>
        </w:rPr>
        <w:footnoteReference w:id="395"/>
      </w:r>
      <w:r>
        <w:rPr>
          <w:rFonts w:ascii="Amiri" w:hAnsi="Amiri" w:eastAsia="Amiri" w:cs="Amiri"/>
          <w:color w:val="111111"/>
          <w:sz w:val="28"/>
          <w:sz w:val="28"/>
          <w:szCs w:val="28"/>
          <w:rtl w:val="true"/>
          <w:lang w:bidi="ar-SA"/>
        </w:rPr>
        <w:t>، و إمام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لمّا نزلت هذه الآیة وَ اِتَّقُوا فِتْنَةً لاٰ تُصِیبَنَّ اَلَّذِینَ ظَلَمُوا مِنْکُمْ خَاصَّةً </w:t>
      </w:r>
      <w:r>
        <w:rPr>
          <w:rStyle w:val="FootnoteAnchor"/>
          <w:rtl w:val="true"/>
        </w:rPr>
        <w:footnoteReference w:id="3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عَلِیّاً مَقْعَدِی هَذَا بَعْدَ وَفَاتِی، فَکَأَنَّمَا جَحَدَ نُبُوَّتِی وَ نُبُوَّةَ اَلْأَنْبِیَاءِ قَبْلِی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تولّی ظالما فهو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إِنَّ اَللّٰهَ لاٰ یَهْدِی اَلْقَوْمَ اَلظّٰالِمِینَ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 وضع الشیء فی غیر موضعه، فمن ادّعی الإمامة و لیس بإمام فهو ظالم ملعون، و من وضع الإمامة فی غیر أهلها فهو ظالم ملعون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جَحَدَ عَلِیّاً إِمَامَتَهُ بَعْدِی فَقَدْ جَحَدَ نُبُوَّتِی، وَ مَنْ جَحَدَ نُبُوَّتِی فَقَدْ جَحَدَ اَللَّهَ رُبُوبِیَّتَهُ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صَلَّی اَللَّهُ عَلَیْهِ وَ آلِهِ وَ سَلَّمَ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 أَنْتَ اَلْمَظْلُومُ بَعْدِی، مَنْ ظَلَمَکَ فَقَدْ ظَلَمَنِی، وَ مَنْ أَنْصَفَکَ فَقَدْ أَنْصَفَنِی، وَ مَنْ جَحَدَکَ فَقَدْ جَحَدَنِی، وَ مَنْ وَالاَکَ فَقَدْ وَالاَنِی، وَ مَنْ عَادَاکَ فَقَدْ عَادَانِی، وَ مَنْ أَطَاعَکَ فَقَدْ أَطَاعَنِی، وَ مَنْ عَصَاکَ فَقَدْ عَصَانِی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اعتقادنا فیمن جحد إمامة أمیر المؤمنین علی بن أبی طالب 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بمنزلة من جحد نبوّة جمیع الأنبیاء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فیمن أقرّ بأمیر المؤمنین </w:t>
      </w:r>
      <w:r>
        <w:rPr>
          <w:rStyle w:val="FootnoteAnchor"/>
          <w:rtl w:val="true"/>
        </w:rPr>
        <w:footnoteReference w:id="406"/>
      </w:r>
      <w:r>
        <w:rPr>
          <w:rFonts w:ascii="IRNazanin" w:hAnsi="IRNazanin" w:eastAsia="IRNazanin"/>
          <w:color w:val="111111"/>
          <w:sz w:val="28"/>
          <w:sz w:val="28"/>
          <w:szCs w:val="28"/>
          <w:rtl w:val="true"/>
          <w:lang w:bidi="fa-IR"/>
        </w:rPr>
        <w:t xml:space="preserve">و أنکر واحدا من بعده من الأئمّة أنّه بمنزلة من أقرّ بجمیع الأنبیاء و أنکر نبوّة نبیّنا محمد صلّی اللّه علیه و آله و سلّم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اَلْمُنْکِرُ لِآخِرِنَا کَالْمُنْکِرِ لِأَوَّلِنَا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بَعْدِی اِثْنَا عَشَرَ، أَوَّلُهُمْ أَمِیرُ اَلْمُؤْمِنِینَ عَلِیُّ بْنُ أَبِی طَالِبٍ وَ آخِرُهُمُ اَلْقَائِمُ ، طَاعَتُهُمْ طَاعَتِی، وَ مَعْصِیَتُهُمْ مَعْصِیَتِی، مَنْ أَنْکَرَ وَاحِداً مِنْهُمْ فَقَدْ أَنْکَرَنِی</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کُفْرِ أَعْدَائِنَا وَ اَلظَّالِمِینَ لَنَا فَهُوَ کَافِرٌ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مُنْذُ وَلَدَتْنِی أُمِّی، حَتَّی إِنَّ عَقِیلاً کَانَ یُصِیبُهُ اَلرَّمَدُ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تَذُرُّونِی حَتَّی تَذُرُّوا عَلِیّاً ، فَیَذُرُّونِّی وَ مَا بِی رَمَدٌ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اعتقادنا فیمن قاتل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 عَلِیّاً فَقَدْ قَاتَلَنِی، وَ مَنْ حَارَبَ عَلِیّاً فَقَدْ حَارَبَنِی، وَ مَنْ حَارَبَنِی فَقَدْ حَارَبَ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 وَ سَلَّمَ لِعَلِیٍّ وَ فَاطِمَةَ وَ اَلْحَسَنِ وَ اَلْحُسَیْنِ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حَارَبَکُمْ وَ سِلْمٌ لِمَنْ سَالَمَکُمْ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فاطمة صلوات اللّه علیها فاعتقادنا فیها أنّها سیدة نساء العالمین من الأوّلین و الآخرین، و أنّ اللّه یغضب لغضبها، و یرضی لرضاها </w:t>
      </w:r>
      <w:r>
        <w:rPr>
          <w:rStyle w:val="FootnoteAnchor"/>
          <w:rtl w:val="true"/>
        </w:rPr>
        <w:footnoteReference w:id="411"/>
      </w:r>
      <w:r>
        <w:rPr>
          <w:rFonts w:ascii="IRNazanin" w:hAnsi="IRNazanin" w:eastAsia="IRNazanin"/>
          <w:color w:val="111111"/>
          <w:sz w:val="28"/>
          <w:sz w:val="28"/>
          <w:szCs w:val="28"/>
          <w:rtl w:val="true"/>
          <w:lang w:bidi="fa-IR"/>
        </w:rPr>
        <w:t xml:space="preserve">و أنّها خرجت من الدنیا ساخطة علی ظالمیها و غاصبیها و مانعی إرثها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بَضْعَةٌ مِنِّی، مَنْ آذَاهَا فَقَدْ آذَانِی، وَ مَنْ غَاظَهَا فَقَدْ غَاظَنِی </w:t>
      </w:r>
      <w:r>
        <w:rPr>
          <w:rStyle w:val="FootnoteAnchor"/>
          <w:rtl w:val="true"/>
        </w:rPr>
        <w:footnoteReference w:id="413"/>
      </w:r>
      <w:r>
        <w:rPr>
          <w:rFonts w:ascii="Amiri" w:hAnsi="Amiri" w:eastAsia="Amiri" w:cs="Amiri"/>
          <w:color w:val="111111"/>
          <w:sz w:val="28"/>
          <w:sz w:val="28"/>
          <w:szCs w:val="28"/>
          <w:rtl w:val="true"/>
          <w:lang w:bidi="ar-SA"/>
        </w:rPr>
        <w:t>وَ مَنْ سَرَّهَا فَقَدْ سَرَّنِی</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مِنِّی، وَ هِیَ رُوحِیَ اَلَّتِی بَیْنَ جَنْبَیَّ، یَسُوؤُنِی مَا سَاءَهَا، وَ یَسُرُّنِی مَا سَرَّهَا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اعتقادنا فی البراءة أنّها واجبة من الأوثان الأربعة و من الانداد الأربعة </w:t>
      </w:r>
      <w:r>
        <w:rPr>
          <w:rStyle w:val="FootnoteAnchor"/>
          <w:rtl w:val="true"/>
        </w:rPr>
        <w:footnoteReference w:id="4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أشیاعهم و أتباعهم، و أنّهم 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 الإقرار باللّه و برسوله </w:t>
      </w:r>
      <w:r>
        <w:rPr>
          <w:rStyle w:val="FootnoteAnchor"/>
          <w:rtl w:val="true"/>
        </w:rPr>
        <w:footnoteReference w:id="417"/>
      </w:r>
      <w:r>
        <w:rPr>
          <w:rFonts w:ascii="IRNazanin" w:hAnsi="IRNazanin" w:eastAsia="IRNazanin"/>
          <w:color w:val="111111"/>
          <w:sz w:val="28"/>
          <w:sz w:val="28"/>
          <w:szCs w:val="28"/>
          <w:rtl w:val="true"/>
          <w:lang w:bidi="fa-IR"/>
        </w:rPr>
        <w:t>و بالأئمّة إلاّ بالبراءة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فی قتلة </w:t>
      </w:r>
      <w:r>
        <w:rPr>
          <w:rStyle w:val="FootnoteAnchor"/>
          <w:rtl w:val="true"/>
        </w:rPr>
        <w:footnoteReference w:id="418"/>
      </w:r>
      <w:r>
        <w:rPr>
          <w:rFonts w:ascii="IRNazanin" w:hAnsi="IRNazanin" w:eastAsia="IRNazanin"/>
          <w:color w:val="111111"/>
          <w:sz w:val="28"/>
          <w:sz w:val="28"/>
          <w:szCs w:val="28"/>
          <w:rtl w:val="true"/>
          <w:lang w:bidi="fa-IR"/>
        </w:rPr>
        <w:t xml:space="preserve">الأنبیاء و قتلة الأئمّة أنّهم کفّار مشرکون مخلدون فی أسفل درک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اعتقد فیهم غیر ما ذکرناه فلیس عندنا من دین اللّه فی شیء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125" w:name="pg20035_204934"/>
    </w:p>
    <w:p>
      <w:pPr>
        <w:pStyle w:val="Heading2"/>
        <w:numPr>
          <w:ilvl w:val="1"/>
          <w:numId w:val="1"/>
        </w:numPr>
        <w:rPr/>
      </w:pPr>
      <w:bookmarkStart w:id="126" w:name="__RefHeading___Toc709792_373438147"/>
      <w:bookmarkStart w:id="127" w:name="_Toc42"/>
      <w:bookmarkEnd w:id="125"/>
      <w:bookmarkEnd w:id="126"/>
      <w:r>
        <w:rPr>
          <w:rtl w:val="true"/>
        </w:rPr>
        <w:t>[</w:t>
      </w:r>
      <w:r>
        <w:rPr/>
        <w:t>39</w:t>
      </w:r>
      <w:r>
        <w:rPr>
          <w:rtl w:val="true"/>
        </w:rPr>
        <w:t>]</w:t>
      </w:r>
      <w:r>
        <w:rPr>
          <w:rtl w:val="true"/>
        </w:rPr>
        <w:t>باب الاعتقاد فی التقیّة</w:t>
      </w:r>
      <w:bookmarkEnd w:id="127"/>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التقیّة أنّها واجبة، من ترکها کان بمنزلة من ترک الصلاة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 إِنَّا نَرَی فِی اَلْمَسْجِدِ رَجُلاً یُعْلِنُ بِسَبِّ أَعْدَائِکُمْ وَ یُسَمِّیهِمْ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 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تَسُبُّوهُمْ فَإِنَّهُمْ </w:t>
      </w:r>
      <w:r>
        <w:rPr>
          <w:rStyle w:val="FootnoteAnchor"/>
          <w:rtl w:val="true"/>
        </w:rPr>
        <w:footnoteReference w:id="422"/>
      </w:r>
      <w:r>
        <w:rPr>
          <w:rFonts w:ascii="Amiri" w:hAnsi="Amiri" w:eastAsia="Amiri" w:cs="Amiri"/>
          <w:color w:val="111111"/>
          <w:sz w:val="28"/>
          <w:sz w:val="28"/>
          <w:szCs w:val="28"/>
          <w:rtl w:val="true"/>
          <w:lang w:bidi="ar-SA"/>
        </w:rPr>
        <w:t>یَسُبُّونَ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وَلِیَّ اَللَّهِ فَقَدْ سَبَّ اَللَّهَ</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صَلَّی اَللَّهُ عَلَیْهِ وَ آلِهِ وَ سَلَّمَ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سَبَّنِی، وَ مَنْ سَبَّنِی فَقَدْ </w:t>
      </w:r>
    </w:p>
    <w:p>
      <w:pPr>
        <w:pStyle w:val="BookText"/>
        <w:rPr/>
      </w:pPr>
      <w:r>
        <w:rPr>
          <w:rFonts w:ascii="Amiri" w:hAnsi="Amiri" w:eastAsia="Amiri" w:cs="Amiri"/>
          <w:color w:val="111111"/>
          <w:sz w:val="28"/>
          <w:sz w:val="28"/>
          <w:szCs w:val="28"/>
          <w:rtl w:val="true"/>
          <w:lang w:bidi="ar-SA"/>
        </w:rPr>
        <w:t>سَبَّ اَللَّهَ تَعَالَی</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التقیّة واجبة لا یجوز رفعها إلی أن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ترکها قبل خروجه فقد خرج عن دین اللّه و دین الإمامیة </w:t>
      </w:r>
      <w:r>
        <w:rPr>
          <w:rStyle w:val="FootnoteAnchor"/>
          <w:rtl w:val="true"/>
        </w:rPr>
        <w:footnoteReference w:id="425"/>
      </w:r>
      <w:r>
        <w:rPr>
          <w:rFonts w:ascii="Amiri" w:hAnsi="Amiri" w:eastAsia="Amiri" w:cs="Amiri"/>
          <w:color w:val="111111"/>
          <w:sz w:val="28"/>
          <w:sz w:val="28"/>
          <w:szCs w:val="28"/>
          <w:rtl w:val="true"/>
          <w:lang w:bidi="ar-SA"/>
        </w:rPr>
        <w:t xml:space="preserve">و خالف اللّه و رسوله و الأئمّة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أَعْمَلُکُمْ بِالتَّقِیَّةِ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 اللّه تبارک و تعالی إظهار موالاة الکافرین فی حال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إِنَّمٰا یَنْهٰاکُمُ اَللّٰهُ عَنِ اَلَّذِینَ قٰاتَلُوکُمْ فِی اَلدِّینِ وَ أَخْرَجُوکُمْ مِنْ دِیٰارِکُمْ وَ ظٰاهَرُوا عَلیٰ إِخْرٰاجِکُمْ أَنْ تَوَلَّوْهُمْ وَ مَنْ یَتَوَلَّهُمْ فَأُولٰئِکَ هُمُ اَلظّٰالِمُونَ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لَأَسْمَعُ اَلرَّجُلَ فِی اَلْمَسْجِدِ وَ هُوَ یَشْتِمُنِی، فَأَسْتَتِرُ مِنْهُ بِالسَّارِیَةِ کَیْ لاَ یَرَانِی</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بِالْبَرَّانِیَّةِ، وَ خَالِفُوهُمْ بِالْجَوَّانِیَّةِ، مَا دَامَتِ اَلْإِمْرَةُ صِبْیَانِیَّةً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اَلرِّیَاءُ مَعَ اَلْمُؤْمِنِ شِرْکٌ، وَ مَعَ اَلْمُنَافِقِ فِی دَارِهِ عِبَادَةٌ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مَعَهُمْ فِی اَلصَّفِّ اَلْأَوَّلِ، فَکَأَنَّمَا صَلَّی مَعَ رَسُولِ اَللَّهِ فِی اَلصَّفِّ اَلْأَوَّلِ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مَرْضَاهُمْ، وَ اِشْهَدُوا جَنَائِزَهُمْ، وَ صَلُّوا فِی مَسَاجِدِهِمْ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لَنَا زَیْناً، وَ لاَ تَکُونُوا عَلَیْنَا شَیْناً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إِلَی اَلنَّاسِ، وَ لَمْ یُبَغِّضْنَا إِلَیْهِمْ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اَلْقَصَّاصُونَ عِنْدَ اَلصَّادِقِ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یُشَنِّعُونَ عَلَیْنَا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اَلْقُصَّاصِ، أَ یَحِلُّ اَلاِسْتِمَاعُ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أَصْغَی إِلَی نَاطِقٍ فَقَدْ عَبَدَهُ، فَإِنْ کَانَ اَلنَّاطِقُ عَنِ اَللَّهِ فَقَدْ عَبَدَ اَللَّهَ، وَ إِنْ کَانَ اَلنَّاطِقُ عَنْ إِبْلِیسَ فَقَدْ عَبَدَ إِبْلِیسَ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یَتَّبِعُهُمُ اَلْغٰاوُونَ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28" w:name="pg20035_204937"/>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اَلْقُصَّاصُ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أَتَی ذَا بِدْعَةٍ فَوَقَّرَهُ فَقَدْ سَعَی فِی هَدْمِ اَلْإِسْلاَمِ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اعتقادنا فیمن خالفنا فی شیء </w:t>
      </w:r>
      <w:r>
        <w:rPr>
          <w:rStyle w:val="FootnoteAnchor"/>
          <w:rtl w:val="true"/>
        </w:rPr>
        <w:footnoteReference w:id="439"/>
      </w:r>
      <w:r>
        <w:rPr>
          <w:rFonts w:ascii="IRNazanin" w:hAnsi="IRNazanin" w:eastAsia="IRNazanin"/>
          <w:color w:val="111111"/>
          <w:sz w:val="28"/>
          <w:sz w:val="28"/>
          <w:szCs w:val="28"/>
          <w:rtl w:val="true"/>
          <w:lang w:bidi="fa-IR"/>
        </w:rPr>
        <w:t>من امور الدین کاعتقادنا فیمن خالفنا فی جمیع امور الدین</w:t>
      </w:r>
      <w:r>
        <w:rPr>
          <w:rFonts w:eastAsia="IRNazanin" w:cs="IRNazanin"/>
          <w:color w:val="111111"/>
          <w:sz w:val="28"/>
          <w:szCs w:val="28"/>
          <w:rtl w:val="true"/>
          <w:lang w:bidi="fa-IR"/>
        </w:rPr>
        <w:t>.</w:t>
      </w:r>
    </w:p>
    <w:p>
      <w:pPr>
        <w:pStyle w:val="Heading2"/>
        <w:numPr>
          <w:ilvl w:val="1"/>
          <w:numId w:val="1"/>
        </w:numPr>
        <w:rPr/>
      </w:pPr>
      <w:bookmarkStart w:id="129" w:name="__RefHeading___Toc709794_373438147"/>
      <w:bookmarkStart w:id="130" w:name="_Toc43"/>
      <w:bookmarkEnd w:id="129"/>
      <w:r>
        <w:rPr>
          <w:rtl w:val="true"/>
        </w:rPr>
        <w:t>[</w:t>
      </w:r>
      <w:r>
        <w:rPr/>
        <w:t>40</w:t>
      </w:r>
      <w:r>
        <w:rPr>
          <w:rtl w:val="true"/>
        </w:rPr>
        <w:t>]</w:t>
      </w:r>
      <w:r>
        <w:rPr>
          <w:rtl w:val="true"/>
        </w:rPr>
        <w:t>باب الاعتقاد فی آباء النبی صلّی اللّه علیه و آله و سلّم</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الاعتقاد فی آباء النبی صلّی اللّه علیه و آله و سلّم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آباء النبی </w:t>
      </w:r>
      <w:r>
        <w:rPr>
          <w:rStyle w:val="FootnoteAnchor"/>
          <w:rtl w:val="true"/>
        </w:rPr>
        <w:footnoteReference w:id="441"/>
      </w:r>
      <w:r>
        <w:rPr>
          <w:rFonts w:ascii="IRNazanin" w:hAnsi="IRNazanin" w:eastAsia="IRNazanin"/>
          <w:color w:val="111111"/>
          <w:sz w:val="28"/>
          <w:sz w:val="28"/>
          <w:szCs w:val="28"/>
          <w:rtl w:val="true"/>
          <w:lang w:bidi="fa-IR"/>
        </w:rPr>
        <w:t>أنّهم مسلمون من آدم إلی أبیه عبد اللّه ، و أنّ أبا طالب کان مسلما، و امّه آمنة بنت وهب کانت مسلمة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مِنْ نِکَاحٍ وَ لَمْ أَخْرُجْ مِنْ سِفَاحٍ مِنْ لَدُنْ آدَمَ </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عَبْدَ اَلْمُطَّلِبِ کَانَ حُجَّةً وَ أَبَا طَالِبٍ کَانَ وَصِیَّهُ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131" w:name="pg20035_204938"/>
    </w:p>
    <w:p>
      <w:pPr>
        <w:pStyle w:val="Heading2"/>
        <w:numPr>
          <w:ilvl w:val="1"/>
          <w:numId w:val="1"/>
        </w:numPr>
        <w:rPr/>
      </w:pPr>
      <w:bookmarkStart w:id="132" w:name="__RefHeading___Toc709796_373438147"/>
      <w:bookmarkStart w:id="133" w:name="_Toc44"/>
      <w:bookmarkEnd w:id="131"/>
      <w:bookmarkEnd w:id="132"/>
      <w:r>
        <w:rPr>
          <w:rtl w:val="true"/>
        </w:rPr>
        <w:t>[</w:t>
      </w:r>
      <w:r>
        <w:rPr/>
        <w:t>41</w:t>
      </w:r>
      <w:r>
        <w:rPr>
          <w:rtl w:val="true"/>
        </w:rPr>
        <w:t>]</w:t>
      </w:r>
      <w:r>
        <w:rPr>
          <w:rtl w:val="true"/>
        </w:rPr>
        <w:t>باب الاعتقاد فی العلویّة</w:t>
      </w:r>
      <w:bookmarkEnd w:id="133"/>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العلویة أنّهم </w:t>
      </w:r>
      <w:r>
        <w:rPr>
          <w:rStyle w:val="FootnoteAnchor"/>
          <w:rtl w:val="true"/>
        </w:rPr>
        <w:footnoteReference w:id="443"/>
      </w:r>
      <w:r>
        <w:rPr>
          <w:rFonts w:ascii="Amiri" w:hAnsi="Amiri" w:eastAsia="Amiri" w:cs="Amiri"/>
          <w:color w:val="111111"/>
          <w:sz w:val="28"/>
          <w:sz w:val="28"/>
          <w:szCs w:val="28"/>
          <w:rtl w:val="true"/>
          <w:lang w:bidi="ar-SA"/>
        </w:rPr>
        <w:t xml:space="preserve">آل رسول اللّه ، و أنّ مودّتهم واجبة، لأنّها أجر النبوّة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الصدقة علیهم محرّمة، لأنّها أوساخ </w:t>
      </w:r>
      <w:r>
        <w:rPr>
          <w:rStyle w:val="FootnoteAnchor"/>
          <w:rtl w:val="true"/>
        </w:rPr>
        <w:footnoteReference w:id="446"/>
      </w:r>
      <w:r>
        <w:rPr>
          <w:rFonts w:ascii="IRNazanin" w:hAnsi="IRNazanin" w:eastAsia="IRNazanin"/>
          <w:color w:val="111111"/>
          <w:sz w:val="28"/>
          <w:sz w:val="28"/>
          <w:szCs w:val="28"/>
          <w:rtl w:val="true"/>
          <w:lang w:bidi="fa-IR"/>
        </w:rPr>
        <w:t>أیدی الناس و طهارة لهم، إلاّ صدقتهم لامائهم و عبیدهم، و صدقة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الزکاة فإنّها تحل لهم الیوم </w:t>
      </w:r>
      <w:r>
        <w:rPr>
          <w:rStyle w:val="FootnoteAnchor"/>
          <w:rtl w:val="true"/>
        </w:rPr>
        <w:footnoteReference w:id="447"/>
      </w:r>
      <w:r>
        <w:rPr>
          <w:rFonts w:ascii="IRNazanin" w:hAnsi="IRNazanin" w:eastAsia="IRNazanin"/>
          <w:color w:val="111111"/>
          <w:sz w:val="28"/>
          <w:sz w:val="28"/>
          <w:szCs w:val="28"/>
          <w:rtl w:val="true"/>
          <w:lang w:bidi="fa-IR"/>
        </w:rPr>
        <w:t>عوضا عن الخمس، لأنّهم قد منعوا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اعتقادنا فی المسیء منهم أنّ علیه ضعف العقاب، و فی المحسن منهم أنّ له ضعف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أکفاء بعض،</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اَلنَّبِیِّ صَلَّی اَللَّهُ عَلَیْهِ وَ آلِهِ وَ سَلَّمَ حِینَ نَظَرَ إِلَی بَنِینَ وَ بَنَاتِ عَلِیٍّ وَ جَعْفَرٍ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کَبَنِینَا، وَ بَنُونَا کَبَنَاتِنَا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 دِینَ اَللَّهِ، وَ تَوَلَّی أَعْدَاءَ اَللَّهِ، أَوْ عَادَی أَوْلِیَاءَ اَللَّهِ، فَالْبَرَاءَةُ مِنْهُ وَاجِبَةٌ، کَائِناً مَنْ کَانَ، مِنْ أَیِّ قَبِیلَةٍ کَانَ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بْنِ اَلْحَنَفِیَّةِ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تَوَاضُعُکَ فِی شَرَفِکَ أَشْرَفُ لَکَ مِنْ شَرَفِ آبَائِکَ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وَلاَیَتِی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وِلاَدَتِی مِنْهُ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مَنْ حَرُمَ عَلَی رَسُولِ اَللَّهِ نِکَاحُهُ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 ثُمَّ أَوْرَثْنَا اَلْکِتٰابَ اَلَّذِینَ اِصْطَفَیْنٰا مِنْ عِبٰادِنٰا فَمِنْهُمْ ظٰالِمٌ لِنَفْسِهِ وَ مِنْهُمْ مُقْتَصِدٌ وَ مِنْهُمْ سٰابِقٌ بِالْخَیْرٰاتِ بِإِذْنِ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لِنَفْسِهِ مِنَّا مَنْ لاَ یَعْرِفُ حَقَّ اَلْإِمَامِ، وَ اَلْمُقْتَصِدُ اَلْعَارِفُ بِحَقِّ اَلْإِمَامِ، وَ اَلسَّابِقُ بِالْخَیْرَاتِ بِإِذْنِ اَللَّهِ هُوَ اَلْإِمَامُ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إِسْمَاعِیلُ أَبَاهُ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اَلْمُذْنِبِینَ 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 اَللَّهِ وَ بَیْنَ أَحَدٍ قَرَابَةٌ، أَحَبُّ اَلْخَلْقِ إِلَی اَللَّهِ أَتْقَاهُمْ لَهُ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یُتَقَرَّبُ إِلَی اَللَّهِ عَزَّ وَ جَلَّ ثَنَاؤُهُ إِلاَّ بِالطَّاعَةِ، مَا مَعَنَا بَرَاءَةٌ مِنَ اَلنَّارِ ، وَ لاَ عَلَی اَللَّهِ لِأَحَدٍ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کَانَ لِلَّهِ مُطِیعاً فَهُوَ لَنَا وَلِیٌّ، وَ مَنْ کَانَ لِلَّهِ عَاصِیاً فَهُوَ 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 وَلاَیَتُنَا إِلاَّ بِالْوَرَعِ وَ اَلْعَمَلِ</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وَ إِنَّ وَعْدَکَ اَلْحَقُّ وَ أَنْتَ أَحْکَمُ اَلْحٰاکِمِینَ قٰالَ یٰا نُوحُ إِنَّهُ لَیْسَ مِنْ أَهْلِکَ إِنَّهُ عَمَلٌ غَیْرُ صٰالِحٍ فَلاٰ تَسْئَلْنِ مٰا لَیْسَ لَکَ بِهِ عِلْمٌ إِنِّی أَعِظُکَ أَنْ تَکُونَ مِنَ اَلْجٰاهِلِینَ قٰالَ رَبِّ إِنِّی أَعُوذُ بِکَ أَنْ أَسْئَلَکَ مٰا لَیْسَ لِی بِهِ عِلْمٌ وَ إِلاّٰ تَغْفِرْ لِی وَ تَرْحَمْنِی أَکُنْ مِنَ اَلْخٰاسِرِینَ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إِمَامٌ وَ لَیْسَ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عَلَوِیّاً فَاطِمِیّاً؟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عَلَوِیّاً فَاطِمِیّاً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بَیْنَکُمْ وَ بَیْنَ مَنْ خَالَفَکُمْ إِلاَّ اَلْمِطْمَرُ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اَلْمِطْمَرُ؟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تُسَمُّونَهُ اَلتُّرَّ، فَمَنْ خَالَفَکُمْ وَ جَازَهُ فَابْرَءُوا مِنْهُ وَ إِنْ کَانَ عَلَوِیّاً فَاطِمِیّاً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Style w:val="FootnoteAnchor"/>
          <w:rtl w:val="true"/>
        </w:rPr>
        <w:footnoteReference w:id="457"/>
      </w:r>
      <w:r>
        <w:rPr>
          <w:rFonts w:ascii="Amiri" w:hAnsi="Amiri" w:eastAsia="Amiri" w:cs="Amiri"/>
          <w:color w:val="111111"/>
          <w:sz w:val="28"/>
          <w:sz w:val="28"/>
          <w:szCs w:val="28"/>
          <w:rtl w:val="true"/>
          <w:lang w:bidi="ar-SA"/>
        </w:rPr>
        <w:t xml:space="preserve">فِی اِبْنِهِ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عَلَی شَیْءٍ مِمَّا أَنْتُمْ عَلَیْهِ، وَ إِنِّی أَبْرَأُ مِنْهُ، بَرِئَ اَللَّهُ مِنْهُ</w:t>
      </w:r>
      <w:r>
        <w:rPr>
          <w:rFonts w:eastAsia="Amiri" w:cs="Amiri" w:ascii="Amiri" w:hAnsi="Amiri"/>
          <w:color w:val="111111"/>
          <w:sz w:val="28"/>
          <w:szCs w:val="28"/>
          <w:rtl w:val="true"/>
          <w:lang w:bidi="ar-SA"/>
        </w:rPr>
        <w:t xml:space="preserve">» . </w:t>
      </w:r>
      <w:bookmarkStart w:id="134" w:name="pg20035_204941"/>
    </w:p>
    <w:p>
      <w:pPr>
        <w:pStyle w:val="Heading2"/>
        <w:numPr>
          <w:ilvl w:val="1"/>
          <w:numId w:val="1"/>
        </w:numPr>
        <w:rPr/>
      </w:pPr>
      <w:bookmarkStart w:id="135" w:name="__RefHeading___Toc709798_373438147"/>
      <w:bookmarkStart w:id="136" w:name="_Toc45"/>
      <w:bookmarkEnd w:id="134"/>
      <w:bookmarkEnd w:id="135"/>
      <w:r>
        <w:rPr>
          <w:rtl w:val="true"/>
        </w:rPr>
        <w:t>[</w:t>
      </w:r>
      <w:r>
        <w:rPr/>
        <w:t>42</w:t>
      </w:r>
      <w:r>
        <w:rPr>
          <w:rtl w:val="true"/>
        </w:rPr>
        <w:t>]</w:t>
      </w:r>
      <w:r>
        <w:rPr>
          <w:rtl w:val="true"/>
        </w:rPr>
        <w:t>باب الاعتقاد فی الأخبار المفسّرة و المجملة</w:t>
      </w:r>
      <w:bookmarkEnd w:id="136"/>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الحدیث المفسّر أنّه یحکم علی المجمل، کما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37" w:name="__RefHeading___Toc709800_373438147"/>
      <w:bookmarkStart w:id="138" w:name="_Toc46"/>
      <w:bookmarkEnd w:id="137"/>
      <w:r>
        <w:rPr>
          <w:rtl w:val="true"/>
        </w:rPr>
        <w:t>[</w:t>
      </w:r>
      <w:r>
        <w:rPr/>
        <w:t>43</w:t>
      </w:r>
      <w:r>
        <w:rPr>
          <w:rtl w:val="true"/>
        </w:rPr>
        <w:t>]</w:t>
      </w:r>
      <w:r>
        <w:rPr>
          <w:rtl w:val="true"/>
        </w:rPr>
        <w:t>باب الاعتقاد فی الحظر و الإباحة</w:t>
      </w:r>
      <w:bookmarkEnd w:id="1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ذلک أنّ الأشیاء کلّها مطلقة حتی یرد فی شیء منها نهی</w:t>
      </w:r>
      <w:r>
        <w:rPr>
          <w:rFonts w:eastAsia="IRNazanin" w:cs="IRNazanin"/>
          <w:color w:val="111111"/>
          <w:sz w:val="28"/>
          <w:szCs w:val="28"/>
          <w:rtl w:val="true"/>
          <w:lang w:bidi="fa-IR"/>
        </w:rPr>
        <w:t xml:space="preserve">. </w:t>
      </w:r>
      <w:bookmarkStart w:id="139" w:name="pg20035_204942"/>
    </w:p>
    <w:p>
      <w:pPr>
        <w:pStyle w:val="Heading2"/>
        <w:numPr>
          <w:ilvl w:val="1"/>
          <w:numId w:val="1"/>
        </w:numPr>
        <w:rPr/>
      </w:pPr>
      <w:bookmarkStart w:id="140" w:name="__RefHeading___Toc709802_373438147"/>
      <w:bookmarkStart w:id="141" w:name="_Toc47"/>
      <w:bookmarkEnd w:id="139"/>
      <w:bookmarkEnd w:id="140"/>
      <w:r>
        <w:rPr>
          <w:rtl w:val="true"/>
        </w:rPr>
        <w:t>[</w:t>
      </w:r>
      <w:r>
        <w:rPr/>
        <w:t>44</w:t>
      </w:r>
      <w:r>
        <w:rPr>
          <w:rtl w:val="true"/>
        </w:rPr>
        <w:t>]</w:t>
      </w:r>
      <w:r>
        <w:rPr>
          <w:rtl w:val="true"/>
        </w:rPr>
        <w:t>باب الاعتقاد فی الأخبار الواردة فی الطب</w:t>
      </w:r>
      <w:bookmarkEnd w:id="141"/>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الأخبار الواردة فی الطب أنّها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علی هواء مکّة و المدینة ، فلا یجوز استعماله فی سائر الأهویة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 به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 من طبع السائل و لم یتعد موضعه، إذ کان أعرف بطبعه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دلّسه المخالفون فی الکتب لتقبیح صورة المذهب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فیه سهو من ناقله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 بعضه و نسی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رُوِیَ فِی اَلْعَسَلِ أَنَّهُ شِفَاءٌ مِنْ کُلِّ دَاءٍ </w:t>
      </w:r>
      <w:r>
        <w:rPr>
          <w:rStyle w:val="FootnoteAnchor"/>
          <w:rtl w:val="true"/>
        </w:rPr>
        <w:footnoteReference w:id="459"/>
      </w:r>
      <w:r>
        <w:rPr>
          <w:rFonts w:ascii="IRNazanin" w:hAnsi="IRNazanin" w:eastAsia="IRNazanin"/>
          <w:color w:val="111111"/>
          <w:sz w:val="28"/>
          <w:sz w:val="28"/>
          <w:szCs w:val="28"/>
          <w:rtl w:val="true"/>
          <w:lang w:bidi="fa-IR"/>
        </w:rPr>
        <w:t>فهو صحیح، و معناه أنّه شفاء من کل داء بارد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رُوِیَ فِی اَلاِسْتِنْجَاءِ بِالْمَاءِ اَلْبَارِدِ لِصَاحِبِ اَلْبَوَاسِیرِ </w:t>
      </w:r>
      <w:r>
        <w:rPr>
          <w:rStyle w:val="FootnoteAnchor"/>
          <w:rtl w:val="true"/>
        </w:rPr>
        <w:footnoteReference w:id="460"/>
      </w:r>
      <w:r>
        <w:rPr>
          <w:rFonts w:ascii="IRNazanin" w:hAnsi="IRNazanin" w:eastAsia="IRNazanin"/>
          <w:color w:val="111111"/>
          <w:sz w:val="28"/>
          <w:sz w:val="28"/>
          <w:szCs w:val="28"/>
          <w:rtl w:val="true"/>
          <w:lang w:bidi="fa-IR"/>
        </w:rPr>
        <w:t xml:space="preserve">فإنّ ذلک إذا کان </w:t>
      </w:r>
    </w:p>
    <w:p>
      <w:pPr>
        <w:pStyle w:val="BookText"/>
        <w:rPr/>
      </w:pPr>
      <w:r>
        <w:rPr>
          <w:rFonts w:ascii="IRNazanin" w:hAnsi="IRNazanin" w:eastAsia="IRNazanin"/>
          <w:color w:val="111111"/>
          <w:sz w:val="28"/>
          <w:sz w:val="28"/>
          <w:szCs w:val="28"/>
          <w:rtl w:val="true"/>
          <w:lang w:bidi="fa-IR"/>
        </w:rPr>
        <w:t>بواسیره من حرارة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رُوِیَ فِی اَلْبَاذَنْجَانِ مِنَ اَلشِّفَاءِ</w:t>
      </w:r>
    </w:p>
    <w:p>
      <w:pPr>
        <w:pStyle w:val="BookText"/>
        <w:rPr/>
      </w:pP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وقت ادراک الرطب لمن یأکل الرطب، دون غیره من سائر الأوقات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أدویة العلل الصحیحة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آیات القرآن و سوره و الأدعیة علی حسب ما وردت به الآثار </w:t>
      </w:r>
      <w:r>
        <w:rPr>
          <w:rStyle w:val="FootnoteAnchor"/>
          <w:rtl w:val="true"/>
        </w:rPr>
        <w:footnoteReference w:id="463"/>
      </w:r>
      <w:r>
        <w:rPr>
          <w:rFonts w:ascii="IRNazanin" w:hAnsi="IRNazanin" w:eastAsia="IRNazanin"/>
          <w:color w:val="111111"/>
          <w:sz w:val="28"/>
          <w:sz w:val="28"/>
          <w:szCs w:val="28"/>
          <w:rtl w:val="true"/>
          <w:lang w:bidi="fa-IR"/>
        </w:rPr>
        <w:t>بالأسانید القویة و الطرق الصحیحة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فِیمَا مَضَی یُسَمَّی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 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مِمَّنِ اَلدَّاءُ؟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فَمِمَّنِ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 اَلنَّاسُ بِالْمُعَالِجِ؟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بِذَلِکَ، فَسُمِّیَ اَلطَّبِیبُ لِذَلِکَ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الطب التداوی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فِی مِحْرَابِهِ فِی کُلِّ یَوْمٍ حَشِیشَةٌ،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خُذْنِی فَإِنِّی أَصْلُحُ لِکَذَا وَ کَذَا، فَرَأَی آخِرَ عُمُرِهِ حَشِیشَةً نَبَتَتْ فِی مِحْرَابِهِ،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الخروبیة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اَلْمِحْرَابُ، فَلَمْ یَنْبُتْ فِیهِ شَیْءٌ بَعْدَ ذَلِکَ</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تَشْفِهِ اَلْحَمْدُ لِلَّهِ فَلاَ شَفَاهُ اَللَّهُ تَعَالَی</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42" w:name="pg20035_204944"/>
    </w:p>
    <w:p>
      <w:pPr>
        <w:pStyle w:val="Heading2"/>
        <w:numPr>
          <w:ilvl w:val="1"/>
          <w:numId w:val="1"/>
        </w:numPr>
        <w:rPr/>
      </w:pPr>
      <w:bookmarkStart w:id="143" w:name="__RefHeading___Toc709804_373438147"/>
      <w:bookmarkStart w:id="144" w:name="_Toc48"/>
      <w:bookmarkEnd w:id="142"/>
      <w:bookmarkEnd w:id="143"/>
      <w:r>
        <w:rPr>
          <w:rtl w:val="true"/>
        </w:rPr>
        <w:t>[</w:t>
      </w:r>
      <w:r>
        <w:rPr/>
        <w:t>45</w:t>
      </w:r>
      <w:r>
        <w:rPr>
          <w:rtl w:val="true"/>
        </w:rPr>
        <w:t>]</w:t>
      </w:r>
      <w:r>
        <w:rPr>
          <w:rtl w:val="true"/>
        </w:rPr>
        <w:t>باب الاعتقاد فی الحدیثین المختلفین</w:t>
      </w:r>
      <w:bookmarkEnd w:id="1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الأخبار الصحیحة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موافقة لکتاب اللّه تبارک و تعالی، متّفقة المعانی غیر مختلفة، لأنّها مأخوذة من طریق </w:t>
      </w:r>
      <w:r>
        <w:rPr>
          <w:rStyle w:val="FootnoteAnchor"/>
          <w:rtl w:val="true"/>
        </w:rPr>
        <w:footnoteReference w:id="467"/>
      </w:r>
      <w:r>
        <w:rPr>
          <w:rFonts w:ascii="IRNazanin" w:hAnsi="IRNazanin" w:eastAsia="IRNazanin"/>
          <w:color w:val="111111"/>
          <w:sz w:val="28"/>
          <w:sz w:val="28"/>
          <w:szCs w:val="28"/>
          <w:rtl w:val="true"/>
          <w:lang w:bidi="fa-IR"/>
        </w:rPr>
        <w:t>الوحی عن اللّه تعالی، و لو کانت من عند غیر اللّه تعالی لکانت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اختلاف ظواهر الأخبار إلاّ لعلل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جاء فی کفّارة الظهار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خبر آخر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خبر آخر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صحیحة، فالصیام لمن لم یجد العتق، و الإطعام لمن لم یستطع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w:t>
      </w:r>
      <w:r>
        <w:rPr>
          <w:rStyle w:val="FootnoteAnchor"/>
          <w:rtl w:val="true"/>
        </w:rPr>
        <w:footnoteReference w:id="468"/>
      </w:r>
      <w:r>
        <w:rPr>
          <w:rFonts w:ascii="IRNazanin" w:hAnsi="IRNazanin" w:eastAsia="IRNazanin"/>
          <w:color w:val="111111"/>
          <w:sz w:val="28"/>
          <w:sz w:val="28"/>
          <w:szCs w:val="28"/>
          <w:rtl w:val="true"/>
          <w:lang w:bidi="fa-IR"/>
        </w:rPr>
        <w:t>أنّه یتصدّق بما یطیق، و ذلک محمول علی من لم یقدر علی 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یقوم کلّ واحد منها مقام الآخر، مثل ما جاء فی کفّارة الیمین </w:t>
      </w:r>
    </w:p>
    <w:p>
      <w:pPr>
        <w:pStyle w:val="BookText"/>
        <w:rPr/>
      </w:pPr>
      <w:r>
        <w:rPr>
          <w:rFonts w:ascii="Amiri" w:hAnsi="Amiri" w:eastAsia="Amiri" w:cs="Amiri"/>
          <w:color w:val="111111"/>
          <w:sz w:val="28"/>
          <w:sz w:val="28"/>
          <w:szCs w:val="28"/>
          <w:rtl w:val="true"/>
          <w:lang w:bidi="ar-SA"/>
        </w:rPr>
        <w:t>إِطْعٰامُ عَشَرَةِ مَسٰاکِینَ مِنْ أَوْسَطِ مٰا تُطْعِمُونَ أَهْلِیکُمْ أَوْ کِسْوَتُهُمْ أَوْ تَحْرِیرُ رَقَبَةٍ فَمَنْ لَمْ یَجِدْ فَصِیٰامُ ثَلاٰثَةِ أَیّٰامٍ</w:t>
      </w:r>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 فی کفّارة الیمین ثلاثة أخبار أحدها بالإطعام و ثانیها بالکسوة، و ثالثها بتحریر رقبة </w:t>
      </w:r>
      <w:r>
        <w:rPr>
          <w:rStyle w:val="FootnoteAnchor"/>
          <w:rtl w:val="true"/>
        </w:rPr>
        <w:footnoteReference w:id="470"/>
      </w:r>
      <w:r>
        <w:rPr>
          <w:rFonts w:ascii="IRNazanin" w:hAnsi="IRNazanin" w:eastAsia="IRNazanin"/>
          <w:color w:val="111111"/>
          <w:sz w:val="28"/>
          <w:sz w:val="28"/>
          <w:szCs w:val="28"/>
          <w:rtl w:val="true"/>
          <w:lang w:bidi="fa-IR"/>
        </w:rPr>
        <w:t>کان ذلک عند الجهّال مختلفا، و لیس بمختلف، بل کلّ واحدة من هذه الکفّارات تقوم مقام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ما ورد للتقیّة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سُلَیْمِ بْنِ قَیْسٍ اَلْهِلاَلِیِّ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مِنْ سَلْمَانَ وَ مِقْدَادَ وَ أَبِی ذَرٍّ شَیْئاً مِنْ تَفْسِیرِ اَلْقُرْآنِ وَ مِنَ اَلْأَحَادِیثِ عَنِ اَلنَّبِیِّ صَلَّی اَللَّهُ عَلَیْهِ وَ آلِهِ وَ سَلَّمَ غَیْرَ مَا فِی أَیْدِی اَلنَّاسِ، ثُمَّ سَمِعْتُ مِنْکَ تَصْدِیقَ مَا سَمِعْتُ مِنْهُمْ، وَ رَأَیْتُ فِی أَیْدِی اَلنَّاسِ أَشْیَاءَ کَثِیرَةً مِنْ تَفْسِیرِ اَلْقُرْآنِ وَ مِنَ اَلْأَحَادِیثِ عَنِ اَلنَّبِیِّ أَنْتُمْ تُخَالِفُونَهُمْ فِیهَا وَ تَزْعُمُونَ أَنَّ ذَلِکَ کُلَّهُ بَاطِلٌ، أَ فَتَرَی اَلنَّاسَ یَکْذِبُونَ عَلَی رَسُولِ اَللَّهِ مُتَعَمِّدِینَ وَ یُفَسِّرُونَ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فِی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صِدْقٌ وَ کَذِبٌ، وَ نَاسِخٌ وَ مَنْسُوخٌ، وَ خَاصٌّ وَ عَامٌّ، وَ مُحْکَمٌ وَ مُتَشَابِهٌ، وَ حِفْظٌ 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کُذِبَ عَلَی رَسُولِ اَللَّهِ عَلَی عَهْدِهِ حَتَّی 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قَدْ کَثُرَتِ اَلْکَذَّابَةُ عَلَیَّ </w:t>
      </w:r>
      <w:r>
        <w:rPr>
          <w:rStyle w:val="FootnoteAnchor"/>
          <w:rtl w:val="true"/>
        </w:rPr>
        <w:footnoteReference w:id="471"/>
      </w:r>
      <w:r>
        <w:rPr>
          <w:rFonts w:ascii="Amiri" w:hAnsi="Amiri" w:eastAsia="Amiri" w:cs="Amiri"/>
          <w:color w:val="111111"/>
          <w:sz w:val="28"/>
          <w:sz w:val="28"/>
          <w:szCs w:val="28"/>
          <w:rtl w:val="true"/>
          <w:lang w:bidi="ar-SA"/>
        </w:rPr>
        <w:t>فَمَنْ کَذَبَ عَلَیَّ مُتَعَمِّداً فَلْیَتَبَوَّأْ مَقْعَدَهُ مِنَ اَلنَّارِ ، ثُمَّ کُذِبَ عَلَیْهِ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أَتَاکُمُ اَلْحَدِیثُ مِنْ أَرْبَعَةٍ لَیْسَ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لِلْإِیمَانِ، مُتَصَنِّعٌ بِالْإِسْلاَمِ ، لاَ یَتَأَثَّمُ وَ لاَ یَتَحَرَّجُ </w:t>
      </w:r>
      <w:r>
        <w:rPr>
          <w:rStyle w:val="FootnoteAnchor"/>
          <w:rtl w:val="true"/>
        </w:rPr>
        <w:footnoteReference w:id="47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یَکْذِبَ عَلَی رَسُولِ اَللَّهِ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اَلنَّاسُ أَنَّهُ مُنَافِقٌ کَذَّابٌ لَمْ یَقْبَلُوا مِنْهُ وَ لَمْ یُصَدِّقُوهُ،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صَحِبَ </w:t>
      </w:r>
      <w:r>
        <w:rPr>
          <w:rStyle w:val="FootnoteAnchor"/>
          <w:rtl w:val="true"/>
        </w:rPr>
        <w:footnoteReference w:id="473"/>
      </w:r>
      <w:r>
        <w:rPr>
          <w:rFonts w:ascii="Amiri" w:hAnsi="Amiri" w:eastAsia="Amiri" w:cs="Amiri"/>
          <w:color w:val="111111"/>
          <w:sz w:val="28"/>
          <w:sz w:val="28"/>
          <w:szCs w:val="28"/>
          <w:rtl w:val="true"/>
          <w:lang w:bidi="ar-SA"/>
        </w:rPr>
        <w:t>رَسُولَ اَللَّهِ وَ رَآهُ وَ سَمِعَ مِنْهُ، فَأَخَذُوا عَنْهُ وَ هُمْ لاَ یَعْرِفُونَ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تَعَالَی عَنِ اَلْمُنَافِقِینَ بِمَا أَخْبَرَ، وَ وَصَفَهُمْ بِمَا وَصَفَهُمْ،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474"/>
      </w:r>
      <w:r>
        <w:rPr>
          <w:rFonts w:ascii="Amiri" w:hAnsi="Amiri" w:eastAsia="Amiri" w:cs="Amiri"/>
          <w:color w:val="111111"/>
          <w:sz w:val="28"/>
          <w:sz w:val="28"/>
          <w:szCs w:val="28"/>
          <w:rtl w:val="true"/>
          <w:lang w:bidi="ar-SA"/>
        </w:rPr>
        <w:t xml:space="preserve">ثُمَّ تَفَرَّقُوا بَعْدَهُ، فَتَقَرَّبُوا </w:t>
      </w:r>
      <w:r>
        <w:rPr>
          <w:rStyle w:val="FootnoteAnchor"/>
          <w:rtl w:val="true"/>
        </w:rPr>
        <w:footnoteReference w:id="475"/>
      </w:r>
      <w:r>
        <w:rPr>
          <w:rFonts w:ascii="Amiri" w:hAnsi="Amiri" w:eastAsia="Amiri" w:cs="Amiri"/>
          <w:color w:val="111111"/>
          <w:sz w:val="28"/>
          <w:sz w:val="28"/>
          <w:szCs w:val="28"/>
          <w:rtl w:val="true"/>
          <w:lang w:bidi="ar-SA"/>
        </w:rPr>
        <w:t xml:space="preserve">إِلَی أَئِمَّةِ اَلضَّلاَلَةِ وَ اَلدُّعَاةِ إِلَی اَلنَّارِ بِالزُّورِ وَ اَلْکَذِبِ وَ اَلْبُهْتَانِ، فَوَلَّوْهُمُ اَلْأَعْمَالَ، وَ أَکَلُوا بِهِمُ اَلدُّنْیَا، وَ حَمَلُوهُمْ عَلَی رِقَابِ اَلنَّاسِ، وَ إِنَّمَا اَلنَّاسُ مَعَ اَلْمُلُوکِ وَ اَلدُّنْیَا إِلاَّ مَنْ عَصَمَ </w:t>
      </w:r>
      <w:r>
        <w:rPr>
          <w:rStyle w:val="FootnoteAnchor"/>
          <w:rtl w:val="true"/>
        </w:rPr>
        <w:footnoteReference w:id="47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آخَرٌ سَمِعَ مِنْ رَسُولِ اَللَّهِ </w:t>
      </w:r>
      <w:r>
        <w:rPr>
          <w:rStyle w:val="FootnoteAnchor"/>
          <w:rtl w:val="true"/>
        </w:rPr>
        <w:footnoteReference w:id="477"/>
      </w:r>
      <w:r>
        <w:rPr>
          <w:rFonts w:ascii="Amiri" w:hAnsi="Amiri" w:eastAsia="Amiri" w:cs="Amiri"/>
          <w:color w:val="111111"/>
          <w:sz w:val="28"/>
          <w:sz w:val="28"/>
          <w:szCs w:val="28"/>
          <w:rtl w:val="true"/>
          <w:lang w:bidi="ar-SA"/>
        </w:rPr>
        <w:t>شَیْئاً لَمْ یَحْفَظْهُ عَلَی وَجْهِهِ وَ وَهِمَ فِیهِ، وَ لَمْ یَتَعَمَّدْ کَذِباً، فَهُوَ فِی یَدِهِ یَقُولُ بِهِ وَ یَعْمَلُ بِهِ وَ یَرْوِیهِ،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یَقْبَلُوهُ، وَ لَوْ عَلِمَ هُوَ أَنَّهُ وَهِمَ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ثَالِثٌ سَمِعَ مِنْ رَسُولِ اَللَّهِ شَیْئاً أَمَرَ بِهِ، ثُمَّ نَهَی عَنْهُ وَ هُوَ لاَ یَعْلَمُ، أَوْ سَمِعَهُ یَنْهَی عَنْ شَیْءٍ، ثُمَّ أَمَرَ بِهِ وَ هُوَ لاَ یَعْلَمُ، فَحَفِظَ مَنْسُوخَهُ وَ لَمْ یَحْفَظِ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أَنَّهُ مَنْسُوخٌ لَرَفَضَهُ، وَ لَوْ عَلِمَ اَلْمُسْلِمُونَ إِذْ سَمِعُوهُ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رَابِعٌ لَمْ یَکْذِبْ عَلَی رَسُولِ اَللَّهِ ، مُبْغِضٌ لِلْکَذِبِ خَوْفاً مِنَ اَللَّهِ وَ تَعْظِیماً لِرَسُولِ اَللَّهِ ، لَمْ یَسْهُ </w:t>
      </w:r>
      <w:r>
        <w:rPr>
          <w:rStyle w:val="FootnoteAnchor"/>
          <w:rtl w:val="true"/>
        </w:rPr>
        <w:footnoteReference w:id="479"/>
      </w:r>
      <w:r>
        <w:rPr>
          <w:rFonts w:ascii="Amiri" w:hAnsi="Amiri" w:eastAsia="Amiri" w:cs="Amiri"/>
          <w:color w:val="111111"/>
          <w:sz w:val="28"/>
          <w:sz w:val="28"/>
          <w:szCs w:val="28"/>
          <w:rtl w:val="true"/>
          <w:lang w:bidi="ar-SA"/>
        </w:rPr>
        <w:t xml:space="preserve">بَلْ حَفِظَ مَا سَمِعَ عَلَی وَجْهِهِ، فَجَاءَ بِهِ کَمَا سَمِعَ، لَمْ یَزِدْ وَ لَمْ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یَنْقُصْ، وَ عَلِمَ اَلنَّاسِخَ وَ اَلْمَنْسُوخَ، فَعَمِلَ بِالنَّاسِخِ وَ رَفَضَ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أَمْرَ اَلنَّبِیِّ صَلَّی اَللَّهُ عَلَیْهِ وَ آلِهِ وَ سَلَّمَ مِثْلُ اَلْقُرْآنِ </w:t>
      </w:r>
      <w:r>
        <w:rPr>
          <w:rStyle w:val="FootnoteAnchor"/>
          <w:rtl w:val="true"/>
        </w:rPr>
        <w:footnoteReference w:id="480"/>
      </w:r>
      <w:r>
        <w:rPr>
          <w:rFonts w:ascii="Amiri" w:hAnsi="Amiri" w:eastAsia="Amiri" w:cs="Amiri"/>
          <w:color w:val="111111"/>
          <w:sz w:val="28"/>
          <w:sz w:val="28"/>
          <w:szCs w:val="28"/>
          <w:rtl w:val="true"/>
          <w:lang w:bidi="ar-SA"/>
        </w:rPr>
        <w:t>، نَاسِخٌ وَ مَنْسُوخٌ، وَ خَاصٌّ وَ عَامٌّ، وَ مُحْکَمٌ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یَکُونُ مِنْ رَسُولِ اَللَّهِ صَلَّی اَللَّهُ عَلَیْهِ وَ آلِهِ وَ سَلَّمَ اَلْکَلاَمُ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عَامٌّ وَ کَلاَمٌ خَاصٌّ، مِثْلُ اَلْقُرْآنِ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481"/>
      </w:r>
      <w:r>
        <w:rPr>
          <w:rFonts w:ascii="Amiri" w:hAnsi="Amiri" w:eastAsia="Amiri" w:cs="Amiri"/>
          <w:color w:val="111111"/>
          <w:sz w:val="28"/>
          <w:sz w:val="28"/>
          <w:szCs w:val="28"/>
          <w:rtl w:val="true"/>
          <w:lang w:bidi="ar-SA"/>
        </w:rPr>
        <w:t>فَاشْتَبَهَ عَلَی مَنْ لَمْ یَعْرِفْ مَا عَنَی اَللَّهُ وَ رَسُولُهُ ، وَ لَیْسَ کُلُّ أَصْحَابِ رَسُولِ اَللَّهِ یَسْأَلُونَهُ وَ یَسْتَفْهِمُونَهُ، لِأَنَّ فِیهِمْ قَوْماً کَانُوا یَسْأَلُونَهُ وَ لاَ یَسْتَفْهِمُونَهُ، لِأَنَّ اَللَّهَ تَعَالَی نَهَاهُمْ عَنِ اَلسُّؤَالِ،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تَسْئَلُوا عَنْ أَشْیٰاءَ إِنْ تُبْدَ لَکُمْ تَسُؤْکُمْ وَ إِنْ تَسْئَلُوا عَنْهٰا حِینَ یُنَزَّلُ اَلْقُرْآنُ تُبْدَ لَکُمْ عَفَا اَللّٰهُ عَنْهٰا وَ اَللّٰهُ غَفُورٌ حَلِیمٌ قَدْ سَأَلَهٰا قَوْمٌ مِنْ قَبْلِکُمْ ثُمَّ أَصْبَحُوا بِهٰا کٰافِرِینَ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مِنَ اَلسُّؤَالِ حَتَّی إِنْ کَانُوا یُحِبُّونَ أَنْ یَجِیءَ اَلْأَعْرَابِیُّ وَ اَلْبَدَوِیُّ فَیَسْأَلَ وَ هُمْ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أَدْخُلُ عَلَی رَسُولِ اَللَّهِ فِی کُلِّ لَیْلَةٍ دَخْلَةً، وَ أَخْلُو بِهِ فِی کُلِّ یَوْمٍ خَلْوَةً، یُجِیبُنِی عَمَّا أَسْأَلُ، وَ أَدُورُ بِهِ حَیْثُمَا دَارَ، وَ قَدْ عَلِمَ أَصْحَابُ رَسُولِ اَللَّهِ أَنَّهُ لَمْ یَکُنْ یَصْنَعُ ذَلِکَ بِأَحَدٍ غَیْرِی، وَ رُبَّمَا کَانَ ذَلِکَ فِی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إِذَا دَخَلْتُ عَلَیْهِ فِی بَعْضِ مَنَازِلِهِ خَلاَ بِی </w:t>
      </w:r>
      <w:r>
        <w:rPr>
          <w:rStyle w:val="FootnoteAnchor"/>
          <w:rtl w:val="true"/>
        </w:rPr>
        <w:footnoteReference w:id="483"/>
      </w:r>
      <w:r>
        <w:rPr>
          <w:rFonts w:ascii="Amiri" w:hAnsi="Amiri" w:eastAsia="Amiri" w:cs="Amiri"/>
          <w:color w:val="111111"/>
          <w:sz w:val="28"/>
          <w:sz w:val="28"/>
          <w:szCs w:val="28"/>
          <w:rtl w:val="true"/>
          <w:lang w:bidi="ar-SA"/>
        </w:rPr>
        <w:t xml:space="preserve">وَ أَقَامَ نِسَاءَهُ، فَلَمْ یَبْقَ غَیْرِی وَ غَیْرُهُ، وَ إِذَا أَتَانِی هُوَ لِلْخَلْوَةِ وَ أَقَامَ مَنْ فِی بَیْتِی لَمْ یُقِمْ عَنَّا فَاطِمَةَ وَ لاَ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إِبْنَایَ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کُنْتُ إِذَا سَأَلْتُهُ أَجَابَنِی، وَ إِذَا سَکَتُّ وَ نَفِدَتْ مَسَائِلِی اِبْتَدَأَنِی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عَلَی رَسُولِ اَللَّهِ آیَةٌ مِنَ اَلْقُرْآنِ ، وَ لاَ شَیْءٌ عَلَّمَهُ اَللَّهُ تَعَالَی مِنْ حَلاَلٍ أَوْ حَرَامٍ، أَوْ أَمْرٍ أَوْ نَهْیٍ، أَوْ طَاعَةٍ أَوْ مَعْصِیَةٍ، أَوْ شَیْءٍ کَانَ أَوْ یَکُونُ، إِلاَّ وَ قَدْ عَلَّمَنِیهِ وَ أَقْرَأَنِیهِ، وَ أَمْلاَهُ عَلَیَّ وَ کَتَبْتُهُ بِخَطِّی، وَ أَخْبَرَنِی بِتَأْوِیلِ ذَلِکَ وَ ظَهْرِهِ وَ بَطْنِهِ، فَحَفِظْتُهُ ثُمَّ لَمْ أَنْسَ مِنْهُ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وَ سَلَّمَ إِذَا أَخْبَرَنِی بِذَلِکَ کُلِّهِ یَضَعُ یَدَهُ عَلَی صَدْرِی،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قَلْبَهُ عِلْماً، وَ فَهْماً، وَ نُوراً، وَ حِلْماً، وَ حُکْماً </w:t>
      </w:r>
      <w:r>
        <w:rPr>
          <w:rStyle w:val="FootnoteAnchor"/>
          <w:rtl w:val="true"/>
        </w:rPr>
        <w:footnoteReference w:id="485"/>
      </w:r>
      <w:r>
        <w:rPr>
          <w:rFonts w:ascii="Amiri" w:hAnsi="Amiri" w:eastAsia="Amiri" w:cs="Amiri"/>
          <w:color w:val="111111"/>
          <w:sz w:val="28"/>
          <w:sz w:val="28"/>
          <w:szCs w:val="28"/>
          <w:rtl w:val="true"/>
          <w:lang w:bidi="ar-SA"/>
        </w:rPr>
        <w:t xml:space="preserve">وَ إِیمَاناً وَ عَلِّمْهُ وَ لاَ تُجَهِّلْهُ، وَ اِحْفَظْهُ وَ لاَ تَنْسَهُ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رَسُولَ اَللَّهِ ، هَلْ تَتَخَوَّفُ عَلَیَّ اَلنِّسْیَانَ؟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لَسْتُ أَتَخَوَّفُ عَلَیْکَ اَلنِّسْیَانَ وَ لاَ اَلْجَهْلَ، وَ قَدْ أَخْبَرَنِی اَللَّهُ تَعَالَی أَنَّهُ قَدِ اِسْتَجَابَ لِی فِیکَ </w:t>
      </w:r>
      <w:r>
        <w:rPr>
          <w:rStyle w:val="FootnoteAnchor"/>
          <w:rtl w:val="true"/>
        </w:rPr>
        <w:footnoteReference w:id="486"/>
      </w:r>
      <w:r>
        <w:rPr>
          <w:rFonts w:ascii="Amiri" w:hAnsi="Amiri" w:eastAsia="Amiri" w:cs="Amiri"/>
          <w:color w:val="111111"/>
          <w:sz w:val="28"/>
          <w:sz w:val="28"/>
          <w:szCs w:val="28"/>
          <w:rtl w:val="true"/>
          <w:lang w:bidi="ar-SA"/>
        </w:rPr>
        <w:t>وَ لِشُرَکَائِکَ اَلَّذِینَ یَکُونُونَ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مَنْ شُرَکَائِی؟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 اَللَّهُ طَاعَتَهُمْ بِطَاعَتِهِ وَ بِطَاعَتِی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مَنْ هُمْ؟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اَلْأَوْصِیَاءُ بَعْدِی </w:t>
      </w:r>
      <w:r>
        <w:rPr>
          <w:rStyle w:val="FootnoteAnchor"/>
          <w:rtl w:val="true"/>
        </w:rPr>
        <w:footnoteReference w:id="488"/>
      </w:r>
      <w:r>
        <w:rPr>
          <w:rFonts w:ascii="Amiri" w:hAnsi="Amiri" w:eastAsia="Amiri" w:cs="Amiri"/>
          <w:color w:val="111111"/>
          <w:sz w:val="28"/>
          <w:sz w:val="28"/>
          <w:szCs w:val="28"/>
          <w:rtl w:val="true"/>
          <w:lang w:bidi="ar-SA"/>
        </w:rPr>
        <w:t>، وَ لاَ یَتَفَرَّقُونَ حَتَّی یَرِدُوا عَلَیَّ اَلْحَوْضَ ، هَادِینَ مَهْدِیِّینَ، لاَ یَضُرُّهُمْ کَیْدُ مَنْ کَادَهُمْ، وَ لاَ خِذْلاَنُ مَنْ خَذَلَهُمْ، هُمْ مَعَ اَلْقُرْآنِ وَ اَلْقُرْآنُ مَعَهُمْ، لاَ یُفَارِقُونَهُ وَ لاَ یُفَارِقُهُمْ، بِهِمْ تَنْتَصِرُ أُمَّتِی وَ بِهِمْ یُمْطَرُونَ، وَ بِهِمْ یُدْفَعُ اَلْبَلاَءُ، وَ بِهِمْ یُسْتَجَابُ لَهُمُ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سَمِّهِمْ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 ثُمَّ اِبْنِی هَذَا، وَ وَضَعَ یَدَهُ عَلَی رَأْسِ اَلْحَسَنِ ، ثُمَّ اِبْنِی هَذَا، وَ وَضَعَ یَدَهُ عَلَی رَأْسِ اَلْحُسَیْنِ ، ثُمَّ اِبْنُهُ سَمِیُّکَ یَا أَخِی سَیِّدُ اَلْعَابِدِینَ ، ثُمَّ اِبْنُهُ یُسَمَّی مُحَمَّداً ، بَاقِرَ عِلْمِی وَ خَازِنَ وَحْیِ اَللَّهِ، وَ سَیُولَدُ فِی زَمَانِکَ یَا أَخِی فَاقْرَأْهُ مِنِّی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Style w:val="FootnoteAnchor"/>
          <w:rtl w:val="true"/>
        </w:rPr>
        <w:footnoteReference w:id="489"/>
      </w:r>
      <w:r>
        <w:rPr>
          <w:rFonts w:ascii="Amiri" w:hAnsi="Amiri" w:eastAsia="Amiri" w:cs="Amiri"/>
          <w:color w:val="111111"/>
          <w:sz w:val="28"/>
          <w:sz w:val="28"/>
          <w:szCs w:val="28"/>
          <w:rtl w:val="true"/>
          <w:lang w:bidi="ar-SA"/>
        </w:rPr>
        <w:t xml:space="preserve">تَکْمِلَةُ اِثْنَیْ عَشَرَ إِمَاماً مِنْ وُلْدِکَ إِلَی مَهْدِیِّ أُمَّةِ </w:t>
      </w:r>
      <w:r>
        <w:rPr>
          <w:rStyle w:val="FootnoteAnchor"/>
          <w:rtl w:val="true"/>
        </w:rPr>
        <w:footnoteReference w:id="490"/>
      </w:r>
      <w:r>
        <w:rPr>
          <w:rFonts w:ascii="Amiri" w:hAnsi="Amiri" w:eastAsia="Amiri" w:cs="Amiri"/>
          <w:color w:val="111111"/>
          <w:sz w:val="28"/>
          <w:sz w:val="28"/>
          <w:szCs w:val="28"/>
          <w:rtl w:val="true"/>
          <w:lang w:bidi="ar-SA"/>
        </w:rPr>
        <w:t>مُحَمَّدٍ صَلَّی اَللَّهُ عَلَیْهِ وَ آلِهِ وَ سَلَّمَ، اَلَّذِی یَمْلَأُ اَلْأَرْضَ قِسْطاً وَ عَدْلاً کَمَا مُلِئَتْ قَبْلَهُ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یُبَایَعُ بَیْنَ اَلرُّکْنِ وَ اَلْمَقَامِ ، وَ أَعْرِفُ أَسْمَاءَ أَنْصَارِهِ وَ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لَقِیتُ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بَعْدَ مَا مَلَکَ مُعَاوِیَةُ ، فَحَدَّثْتُهُمَا بِهَذَا اَلْحَدِیثِ عَنْ أَبِیهِمَا ،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قَدْ حَدَّثَکَ أَمِیرُ اَلْمُؤْمِنِینَ بِهَذَا اَلْحَدِیثِ وَ نَحْنُ جُلُوسٌ، وَ قَدْ حَفِظْنَا ذَلِکَ عَنْ رَسُولِ اَللَّهِ کَمَا حَدَّثَکَ، فَلَمْ یَزِدْ فِیهِ حَرْفاً وَ لَمْ یَنْقُصْ مِنْهُ حَرْفاً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سُلَیْمُ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لَقِیتُ عَلِیَّ بْنَ اَلْحُسَیْنِ وَ عِنْدَهُ اِبْنُهُ مُحَمَّدُ بْنُ عَلِیٍّ اَلْبَاقِرُ أَبُو جَعْفَرٍ </w:t>
      </w:r>
    </w:p>
    <w:p>
      <w:pPr>
        <w:pStyle w:val="BookText"/>
        <w:rPr/>
      </w:pPr>
      <w:r>
        <w:rPr>
          <w:rFonts w:ascii="Amiri" w:hAnsi="Amiri" w:eastAsia="Amiri" w:cs="Amiri"/>
          <w:color w:val="111111"/>
          <w:sz w:val="28"/>
          <w:sz w:val="28"/>
          <w:szCs w:val="28"/>
          <w:rtl w:val="true"/>
          <w:lang w:bidi="ar-SA"/>
        </w:rPr>
        <w:t xml:space="preserve">، فَحَدَّثْتُهُ بِمَا سَمِعْتُ مِنْ أَبِیهِ وَ مَا سَمِعْتُهُ مِنْ أَمِیرِ اَلْمُؤْمِنِینَ ، فَقَالَ عَلِیُّ بْنُ اَلْحُسَیْنِ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أَقْرَأَنِی أَمِیرُ اَلْمُؤْمِنِینَ مِنْ رَسُولِ اَللَّهِ وَ هُوَ مَرِیضٌ وَ أَنَا صَبِیٌّ، ثُمَّ 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أَقْرَأَنِی جَدِّی مِنْ رَسُولِ اَللَّهِ وَ أَنَا صَبِیٌّ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أَبَانُ بْنُ أَبِی 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عَلِیَّ بْنَ اَلْحُسَیْنِ بِهَذَا </w:t>
      </w:r>
      <w:r>
        <w:rPr>
          <w:rStyle w:val="FootnoteAnchor"/>
          <w:rtl w:val="true"/>
        </w:rPr>
        <w:footnoteReference w:id="491"/>
      </w:r>
      <w:r>
        <w:rPr>
          <w:rFonts w:ascii="Amiri" w:hAnsi="Amiri" w:eastAsia="Amiri" w:cs="Amiri"/>
          <w:color w:val="111111"/>
          <w:sz w:val="28"/>
          <w:sz w:val="28"/>
          <w:szCs w:val="28"/>
          <w:rtl w:val="true"/>
          <w:lang w:bidi="ar-SA"/>
        </w:rPr>
        <w:t>کُلِّهِ عَنْ سُلَیْمِ بْنِ قَیْسٍ اَلْهِلاَلِیِّ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وَ قَدْ جَاءَ جَابِرُ بْنُ عَبْدِ اَللَّهِ اَلْأَنْصَارِیُّ إِلَی اِبْنِی مُحَمَّدٍ وَ هُوَ یَخْتَلِفُ إِلَی اَلْکُتَّابِ، فَقَبَّلَهُ وَ أَقْرَأَهُ اَلسَّلاَمَ مِنْ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أَبَانُ بْنُ أَبِی 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 مَوْتِ عَلِیِّ بْنِ اَلْحُسَیْنِ ، فَلَقِیتُ أَبَا جَعْفَرٍ مُحَمَّدَ بْنَ عَلِیِّ بْنِ اَلْحُسَیْنِ فَحَدَّثْتُهُ بِهَذَا اَلْحَدِیثِ کُلِّهِ عَنْ سُلَیْمٍ ، فَاغْرَوْرَقَتْ عَیْنَاهُ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سُلَیْمٌ </w:t>
      </w:r>
      <w:r>
        <w:rPr>
          <w:rStyle w:val="FootnoteAnchor"/>
          <w:rtl w:val="true"/>
        </w:rPr>
        <w:footnoteReference w:id="492"/>
      </w:r>
      <w:r>
        <w:rPr>
          <w:rFonts w:ascii="Amiri" w:hAnsi="Amiri" w:eastAsia="Amiri" w:cs="Amiri"/>
          <w:color w:val="111111"/>
          <w:sz w:val="28"/>
          <w:sz w:val="28"/>
          <w:szCs w:val="28"/>
          <w:rtl w:val="true"/>
          <w:lang w:bidi="ar-SA"/>
        </w:rPr>
        <w:t xml:space="preserve">، وَ قَدْ أَتَی أَبِی بَعْدَ قَتْلِ جَدِّیَ اَلْحُسَیْنِ وَ أَنَا عِنْدَهُ، فَحَدَّثَهُ بِهَذَا اَلْحَدِیثِ بِعَیْنِهِ، 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حَدَّثَنِی بِهَذَا اَلْحَدِیثِ أَبِی عَنْ أَمِیرِ اَلْمُؤْمِنِینَ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اللّه ما یحسبه الجاهل مختلفا متناقضا و لیس بمختلف و لا 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نَسِیًّا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یَکْفُرُ بَعْضُکُمْ بِبَعْضٍ وَ یَلْعَنُ بَعْضُکُمْ بَعْضاً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لَدَیَّ وَ قَدْ قَدَّمْتُ إِلَیْکُمْ بِالْوَعِیدِ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 لَمْ أَنْهَکُمٰا عَنْ تِلْکُمَا اَلشَّجَرَةِ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w:t>
      </w:r>
      <w:r>
        <w:rPr>
          <w:rStyle w:val="FootnoteAnchor"/>
          <w:rtl w:val="true"/>
        </w:rPr>
        <w:footnoteReference w:id="507"/>
      </w:r>
      <w:r>
        <w:rPr>
          <w:rFonts w:ascii="Amiri" w:hAnsi="Amiri" w:eastAsia="Amiri" w:cs="Amiri"/>
          <w:color w:val="111111"/>
          <w:sz w:val="28"/>
          <w:sz w:val="28"/>
          <w:szCs w:val="28"/>
          <w:rtl w:val="true"/>
          <w:lang w:bidi="ar-SA"/>
        </w:rPr>
        <w:t xml:space="preserve">و یٰا أَیُّهَا اَلرَّسُولُ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لاٰ یَعْزُبُ عَنْهُ مِثْقٰالُ ذَرَّةٍ فِی اَلسَّمٰاوٰاتِ وَ لاٰ فِی اَلْأَرْضِ وَ لاٰ أَصْغَرُ مِنْ ذٰلِکَ وَ لاٰ أَکْبَرُ إِلاّٰ فِی کِتٰابٍ مُبِینٍ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یَنْظُرُ إِلَیْهِمْ یَوْمَ اَلْقِیٰامَةِ وَ لاٰ یُزَکِّیهِمْ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أَیْنَ مٰا کٰانُوا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یُفَرِّطُونَ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القرآن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 عنه رجل من الزنادقة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بوجوه اتفاق معانی هذه الآیات، و بیّن له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أخرجت الخبر فی ذلک مسندا بشرحه فی کتاب التوحید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ساجرّد کتابا فی ذلک بمشیئة اللّه و عونه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اللّه علی محمد و عترته الطاهرین، حَسْبُنَا اَللّٰهُ وَ نِعْمَ اَلْوَکِیلُ ، نِعْمَ اَلْمَوْلیٰ وَ نِعْمَ اَلنَّصِیرُ ، أَلاٰ إِلَی اَللّٰهِ تَصِیرُ اَلْأُمُورُ </w:t>
      </w:r>
      <w:r>
        <w:rPr>
          <w:rFonts w:eastAsia="Amiri" w:cs="Amiri" w:ascii="Amiri" w:hAnsi="Amiri"/>
          <w:color w:val="111111"/>
          <w:sz w:val="28"/>
          <w:szCs w:val="28"/>
          <w:rtl w:val="true"/>
          <w:lang w:bidi="ar-SA"/>
        </w:rPr>
        <w:t xml:space="preserve">. </w:t>
      </w:r>
      <w:bookmarkStart w:id="145" w:name="pg20035_204954"/>
    </w:p>
    <w:p>
      <w:pPr>
        <w:pStyle w:val="Heading2"/>
        <w:numPr>
          <w:ilvl w:val="1"/>
          <w:numId w:val="1"/>
        </w:numPr>
        <w:rPr/>
      </w:pPr>
      <w:bookmarkStart w:id="146" w:name="__RefHeading___Toc709806_373438147"/>
      <w:bookmarkStart w:id="147" w:name="_Toc49"/>
      <w:bookmarkEnd w:id="145"/>
      <w:bookmarkEnd w:id="146"/>
      <w:r>
        <w:rPr>
          <w:rtl w:val="true"/>
        </w:rPr>
        <w:t>فهرس الموضوعات</w:t>
      </w:r>
      <w:bookmarkEnd w:id="14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باب فی صفة اعتقاد الإمامیّة فی التوحید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باب الاعتقاد فی صفات الذات و صفات الأفعال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باب الاعتقاد فی التکلیف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الاعتقاد فی أفعال العباد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باب الاعتقاد فی نفی الجبر و التفویض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باب الاعتقاد فی الإرادة و المشیئة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 الاعتقاد فی القضاء و القدر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باب الاعتقاد فی الفطرة و الهدایة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 الاعتقاد فی الاستطاعة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باب الاعتقاد فی البداء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باب الاعتقاد فی التناهی عن الجدل و المراء فی اللّه عزّ و جل و فی دینه</w:t>
      </w:r>
      <w:r>
        <w:rPr>
          <w:rFonts w:eastAsia="IRNazanin" w:cs="IRNazanin"/>
          <w:color w:val="111111"/>
          <w:sz w:val="28"/>
          <w:szCs w:val="28"/>
          <w:rtl w:val="true"/>
          <w:lang w:bidi="fa-IR"/>
        </w:rPr>
        <w:t>.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باب الاعتقاد فی اللوح و القلم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الاعتقاد فی الکرسیّ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الاعتقاد فی العرش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الاعتقاد فی النفوس و الأرواح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باب الاعتقاد فی الموت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 الاعتقاد فی المساءلة فی القبر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باب الاعتقاد فی الرجعة </w:t>
      </w:r>
      <w:r>
        <w:rPr>
          <w:rFonts w:eastAsia="IRNazanin" w:cs="IRNazanin"/>
          <w:color w:val="111111"/>
          <w:sz w:val="28"/>
          <w:szCs w:val="28"/>
          <w:lang w:bidi="fa-IR"/>
        </w:rPr>
        <w:t>60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الاعتقاد فی البعث بعد الموت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الاعتقاد فی الحوض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باب الاعتقاد فی الشفاعة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باب الاعتقاد فی الوعد و الوعید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الاعتقاد فیما یکتب علی العبد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باب الاعتقاد فی العدل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الاعتقاد فی الأعراف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الاعتقاد فی الصراط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الاعتقاد فی العقبات التی علی طریق الحشر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باب الاعتقاد فی الحساب و المیزان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الاعتقاد فی الجنة و النار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باب الاعتقاد فی کیفیة نزول الوحی من عند اللّه بالکتب فی الأمر و النهی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الاعتقاد فی نزول القرآن فی لیلة القدر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الاعتقاد فی القرآن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الاعتقاد فی مبلغ القرآن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باب الاعتقاد فی الأنبیاء و الرسل و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الاعتقاد فی عدد 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باب الاعتقاد فی العصمة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باب الاعتقاد فی نفی الغلوّ و التفویض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باب الاعتقاد فی الظالمین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الاعتقاد فی التقیة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الاعتقاد فی آباء النبیّ صلّی اللّه علیه و آله و سلّم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باب الاعتقاد فی العلویة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الاعتقاد فی الأخبار المفسّرة و المجملة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الاعتقاد فی الحظر و الإباحة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الاعتقاد فی الأخبار الواردة فی الطبّ </w:t>
      </w:r>
      <w:r>
        <w:rPr>
          <w:rFonts w:eastAsia="IRNazanin" w:cs="IRNazanin"/>
          <w:color w:val="111111"/>
          <w:sz w:val="28"/>
          <w:szCs w:val="28"/>
          <w:lang w:bidi="fa-IR"/>
        </w:rPr>
        <w:t>115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الاعتقاد فی الحدیثین المختلفین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ق بذکر سند لروایة الکتاب،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محمد الحسن بن أحمد بن محمد بن الهیثم العجلی المجاور،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الحسین بن موسی بن بابویه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أبو عبد اللّه الحسین بن علی بن موسی بن بابویه الفقیه القمی عن أخیه أبی جعفر محمد بن علی بن الحسین بن موسی بن بابویه الفقیه، مصنف هذا الکتاب، قال الشیخ أبو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التوحید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أبو محمد الحسن بن أحمد العجلی ثقة، من وجوه الأصحاب، و أبوه و جدّه ثقتان، و هم من أهل الری، جاور فی آخر عمره بالکوفة، و له کتب، منها کتاب الجامع و کتاب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 عبد اللّه الحسین بن علی بن بابویه فهو ثقة أیضا، کثیر الروایة، روی عن جماعة و أبیه اجازة و أخیه، له کتب، منها کتاب التوحید و نفی التشبیه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 لم یرو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لیست فی ق، 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لیست فی ق، و عندئذ یکون ما بعدها منصوبا کما فی النسخة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س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ضد، أثبتناها من ج،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ضد له، و خلت باقی النسخ منها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یدرکها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اللطیف الخبیر، لیست فی ق، 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یأتیهم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هل ینظرون إلاّ أن یأتیهم اللّه بالملائکة فی 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 کما فی ق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قد نزلت فی قطعة من الغمام کما نزلت لعیسی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بالمائدة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و فی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یمکر، أو یخادع، أو یستهزئ، أو یسخر أو ینسی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یمکر، و یخادع، و یستهزئ، و یسخر و ینسی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فی م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ذلک کلّه أنّه فعل مثل فعلهم من المکر و الکید و الاستهزاء، تعالی اللّه عن ذلک علوّا کبیرا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ألفاظ القرآن، لیست فی ق، 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الذات، و 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ذاته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البرقی فی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 و الاجبار من کتاب مصابیح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کلّف اللّه العباد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کلّفهم فی العمر حجة 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العبادات الشرعیة و العقلیة، اثبتت فی ر فی 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یطیقون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یطیقون 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س اثبتت فی الموضع الأوّل، و فی م اثبتت فی الموضع الثانی، بینما خلت منها ق، ج، و بحار الأنوار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آثرنا عدم تثبیتها فی المتن، لأنّها تبدو من اضافات المحشین التی تقحم غفلة فی المتون أحیانا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 تعالی لم یزل عالما بمقادیرها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نفی الجبر و التفویض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 القدر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المشیئة و الارادة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المشیئة و الارادة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یرض أن یکون شیئا إلاّ بعلمه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معصیة له خلاف الطاعة،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معصیة له</w:t>
      </w:r>
      <w:r>
        <w:rPr>
          <w:rFonts w:eastAsia="IRNazanin" w:cs="IRNazanin"/>
          <w:b w:val="false"/>
          <w:bCs w:val="false"/>
          <w:i w:val="false"/>
          <w:iCs w:val="false"/>
          <w:color w:val="333333"/>
          <w:sz w:val="20"/>
          <w:szCs w:val="20"/>
          <w:rtl w:val="true"/>
        </w:rPr>
        <w:t>. .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القهر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لا ندفع القتل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دفع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 السقط واضح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و لو منع منه بالجبر و القدرة کما منع منه بالنهی و القول لا ندفع القتل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الاضافة هنا لتدارک السقط فی 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بالجبر، و فی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القضاء و القدر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اللّه فلا تتکلمه، و فی هامش 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تکشفه، و فی التّوحید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تکلّفه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العباد عن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باقی النسخ و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اللّه العباد عن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هامش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کل النسخ إلاّ ج 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 اللّه العباد عن 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أثبتناه هی عبارة البحار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أوردها عن کتابنا هذا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لا ینالونه بحقیقته الربّانیة، و لا بقدرة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الصمدانیة، و لا بعظمة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بالعظمة النورانیة، و لا بعزّة الوحدانیة</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انّها الأنسب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 القدر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 القدر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الکریمة علی التوالی فی التوبة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الانسان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صیغة تفسیر الآیة الثانیة فی م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یبیّن لها ما أتی و ما ترک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صدر تفسر الآیة الأخیرة فی المصدرین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عرفناهم فاستحبّوا العمی علی الهدی و هم</w:t>
      </w:r>
      <w:r>
        <w:rPr>
          <w:rFonts w:eastAsia="IRNazanin" w:cs="IRNazanin"/>
          <w:b w:val="false"/>
          <w:bCs w:val="false"/>
          <w:i w:val="false"/>
          <w:iCs w:val="false"/>
          <w:color w:val="333333"/>
          <w:sz w:val="20"/>
          <w:szCs w:val="20"/>
          <w:rtl w:val="true"/>
        </w:rPr>
        <w:t>. . .»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البلد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و الحجة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 التعریف و لزوم الحجة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و الکلینیّ فی الکافی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تنفرد نسخة م بصیغة للحدیث کالتالی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لاخذ ما امروا به، و ترک ما نهوا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القلم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و النهی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الخمسون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التوراة مسطور</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یشغله شأن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یمیت، لیست 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 یمیت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بأکمله لیس فی ق، 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المخالفین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کلا المصدرین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یقدّم ما یشاء و یؤخّر ما یشاء</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اعتراض الزیدیّة علی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س،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انه یرید اللّه عز و جل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اثبتناه فی المتن من م و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فابرؤا</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الکلام و المراء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الکلام فی الکیفیّة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النجم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المصدرین السابقین، الأوّل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الثانی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 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الکلام و المراء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اللّه تعالی و بقول رسوله 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وَسِعَ کُرْسِیُّهُ اَلسَّمٰاوٰاتِ وَ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من سورة 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اَلرَّحْمٰنُ عَلَی اَلْعَرْشِ اِسْتَویٰ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الکلینی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الحرکة و الانتقال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منهم، و کذا فی الموضعین الآتیین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صار هؤلاء حملة 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مقدسة مطهرة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علل الشّرائع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موضع من البحار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 و فی موضع آخر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أقبل روح من الأرض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ج و هامش 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رواه مرسلا المصنّف فی الفقیه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رواه مسندا الکلینی فی الکافی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أرواح المؤمنین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المصنّف فی کتاب الفقیه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الزاد فی السفر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و هامش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شراعک فیها التوکّل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ق،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هلکت فبذنوبک لا من اللّه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ساعاته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لیست فی ق، س، و قد اثبتت فی هامش م، ر مذیّلة باشارة غیر واضحة إن کانت تعنی بدلا عن الملائکة أو اضافة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انّ أحادیث الباب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المنقول عن کتابنا فی بحار الأنوار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أثبتا الأئمّة فقط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بتخویف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یدری ما یؤول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النّسخ مضطربة، فهی ما 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مبهما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لکنّها تتفق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ج و معانی الأخبار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فاعتملوا</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تتکلّموا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تقرأ فی بقیّة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تنکلوا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و البحار 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خصائصه، و ما أثبتناه من 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النعیم،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و کذا التی بعدها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الاستقبال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و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أضیق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الجمل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ق و هامش م،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فینعش</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فیقطع</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فلیتوفی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منهما ما أثبتناه بین المعقوفین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خلّی من الذّنوب تخلیة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ق،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نخلا</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هامش 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و هامش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بالنّبوّة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ج، و هامش ر،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من سورة یونس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الخصال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المرویة عن أبی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رواها مسندة الکلینی فی الکافی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فکالآبق یقدم علی مولاه و هو منه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علی التوالی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الأعراف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و هامش 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و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أودعتها</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ربّی، و سئلت عن نبیّها فقالت محمد نبیّی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نهایة الباب لیست فی ق، 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أهل 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فیقع، و 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فیدفع، و ما أثبتناه من هامش الأخیرتین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 ارمیا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المصنّف فی کتاب الفقیه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الصلاة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و هامش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 التناسخ باطل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کخلق واحد و بعث نفس واحدة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المصنّف فی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ذکر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العلل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 لمن بدّل بعدی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لیردنّ علیّ الحوض رجال ممّن صحبنی، حتی إذا رأیتهم و رفعوا إلیّ رؤوسهم اختلجوا، فأقولن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 أصحابی، أصحابی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تدری ما أحدثوا بعدک</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مسندا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فی کتاب الفقیه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الکبائر 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عفا فهو بفضله و کرمه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لیست فی ق، 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سبع ساعات، فإن تاب قبلها لم تکتب علیه، و إن لم یتب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الصمت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النمرقان، و فی بحار الأنوار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الشدقان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نهایة الباب لیس 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فی 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هو أن یثیب علی الحسنة الحسنة، و یعاقب علی السیّئة السیّئة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بعمله</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الحسرة و الندامة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العقبات التی علی طریق المحشر فاسمها علی حدة اسم فرض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ذلک أنّ هذه العقبات اسم کل عقبة منها اسم فرض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متن ق، س کهامش م 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کل عقبة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اثبتت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فاسمها علی حدة، بعد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یسکن فی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یهوی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عز و جل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و هوامش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 و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الحساب أنّه حق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 و فی م غیر واضحة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الشهداء علی الامم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Pr>
        <w:t>88:25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الموازین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الأنبیاء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غیر الدین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فضائل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یدخل الجنّة أحد إلاّ بعمله و إلاّ برحمة اللّه تعالی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م،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الفقرة هذه اشارة إلی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و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فیجعل اللّه له محاسب نفسه، و فی البحار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فیجعله اللّه حاسب نفسه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 قوم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یکتمون، و ما أثبتناه من هامش م، ر، و بلحاظ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یس، و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السلامة، و 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اشارة إلی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فی ر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علی مراتب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یعبدونه شوقا إلی جنّته و رجاء ثوابه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الحرصاء أثبتناها من ق، و 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 و 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 الحرصاء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الحدیث فی ج، و هامش ر، و المصدرین،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الامناء،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مِنْ فَزَعٍ یَوْمَئِذٍ آمِنُونَ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المشرکون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ینادون من کلّ مکان بعید و یقولون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الاستشهاد بهذه الآیة الکریمة اثبتناه من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الصّحیحة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عمل لغیر اللّه،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ثوابکم</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یرفع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و فی 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 و بحار الأنوار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مکان هؤلاء، اثبتناها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تفسیر القمی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و فی ر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مثل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اعتقادنا أنّه لا یخرج أحد من الدنیا حتی یری و یعلم و یتیقّن أی المنزلتین یصیر إلیهما، إلی الجنّة أم إلی النّار، أعدو اللّه أم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ولیا للّه، فتحت له أبواب الجنّة، و شرعت له طرقها، و کشف اللّه عن بصره عند خروج روحه من جسده ما أعدّ اللّه له فیها، قد فرغ من کل شغل، و وضع عنه کل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عدوا للّه، فتحت له أبواب النّار، و شرعت طرقها، و کشف اللّه عزّ و جلّ عن بصره ما أعدّ اللّه له فیها، فاستقبل کل مکروه، و ترک کل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هذا یکون عند الموت، و عندکم یکون بیقین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تصدیق هذا فی کتاب اللّه عزّ و جلّ علی لسان نبیّنا صلّی اللّه علیه و آله اَلَّذِینَ تَتَوَفّٰاهُمُ اَلْمَلاٰئِکَةُ طَیِّبِینَ یَقُولُونَ سَلاٰمٌ عَلَیْکُمْ اُدْخُلُوا اَلْجَنَّةَ بِمٰا کُنْتُمْ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تَتَوَفّٰاهُمُ اَلْمَلاٰئِکَةُ ظٰالِمِی أَنْفُسِهِمْ فَأَلْقَوُا اَلسَّلَمَ مٰا کُنّٰا نَعْمَلُ مِنْ سُوءٍ بَلیٰ إِنَّ اَللّٰهَ عَلِیمٌ بِمٰا کُنْتُمْ تَعْمَلُونَ فَادْخُلُوا أَبْوٰابَ جَهَنَّمَ خٰالِدِینَ فِیهٰا فَلَبِئْسَ مَثْوَی اَلْمُتَکَبِّرِینَ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ینقل و یعرف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بأکمله لیس فی ق، س، اذ عنون الفصل بهذا العنوان، و لکنّه تضمّن ما یأتی فی باب الاعتقاد فی القرآن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لیلة واحدة إلی البیت المعمور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انزل من البیت المعمور فی مدّة عشرین سنة، أثبتناها من ج و تصحیح الاعتقاد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اصول الکافی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بدلها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فرق فی مدة أربعة و عشرین سنة، و کذا فی متن ر، و لکن کتب فی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بشکل یصعب 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فی المتن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من حکیم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اشارة إلی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المتکلم 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الانفال و التوبة سورة واحدة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کم یقرأ القرآن و یختم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الکلینی فی الکافی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 و هامش م زیادة مثلما اداری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الکلینی فی الکافی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 الخصومة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بتمامه أثبتناه من ج، 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الأربعین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ظننت أنّه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خفت</w:t>
      </w:r>
      <w:r>
        <w:rPr>
          <w:rFonts w:eastAsia="IRNazanin" w:cs="IRNazanin"/>
          <w:b w:val="false"/>
          <w:bCs w:val="false"/>
          <w:i w:val="false"/>
          <w:iCs w:val="false"/>
          <w:color w:val="333333"/>
          <w:sz w:val="20"/>
          <w:szCs w:val="20"/>
          <w:rtl w:val="true"/>
        </w:rPr>
        <w:t>. . .»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مسندا المصنّف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الستین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الکلینی فی الکافی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الکلینی فی الکافی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المصنّف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الستین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باختلاف یسیر فی اللفظ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صیغة الحدیث فی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 من واحد علی واحد، و انّما الاختلاف وقع من جهة الروایة</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 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 من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کان فیها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المخالفین من سائر الناس فی الامّة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و هامش م اکملت الآیة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أَعْلَمُ مٰا لاٰ تَعْلَمُونَ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و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یثبت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 ج،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یثبت تفضیل آدم علی 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فی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عبودیة و لآدم طاعة،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عبودیة و طاعة لآدم، و فی ق، س اسقطت کلمة العبودیة، و اثبتت فی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طاعة، 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الأنسب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صلبه من أرواح النبی و</w:t>
      </w:r>
      <w:r>
        <w:rPr>
          <w:rFonts w:eastAsia="IRNazanin" w:cs="IRNazanin"/>
          <w:b w:val="false"/>
          <w:bCs w:val="false"/>
          <w:i w:val="false"/>
          <w:iCs w:val="false"/>
          <w:color w:val="333333"/>
          <w:sz w:val="20"/>
          <w:szCs w:val="20"/>
          <w:rtl w:val="true"/>
        </w:rPr>
        <w:t>. .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الثلاثین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ینامون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و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بقدرته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أثبتناها من 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ما خلق اللّه أعظم و</w:t>
      </w:r>
      <w:r>
        <w:rPr>
          <w:rFonts w:eastAsia="IRNazanin" w:cs="IRNazanin"/>
          <w:b w:val="false"/>
          <w:bCs w:val="false"/>
          <w:i w:val="false"/>
          <w:iCs w:val="false"/>
          <w:color w:val="333333"/>
          <w:sz w:val="20"/>
          <w:szCs w:val="20"/>
          <w:rtl w:val="true"/>
        </w:rPr>
        <w:t>. .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 . . . .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الکافی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الأنبیاء و الرسل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الآیتین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 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نعتقد أنّ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الملائکة و لا الأشیاء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اختصرت الفقرة فی م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الحسین، إلی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فیها و هم خلفاء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محمد بن الحسن الخلف الحجة القائم بأمر اللّه صاحب الزمان الحاضر فی الأمصار الغائب عن الأبصار، خلیفة اللّه</w:t>
      </w:r>
      <w:r>
        <w:rPr>
          <w:rFonts w:eastAsia="IRNazanin" w:cs="IRNazanin"/>
          <w:b w:val="false"/>
          <w:bCs w:val="false"/>
          <w:i w:val="false"/>
          <w:iCs w:val="false"/>
          <w:color w:val="333333"/>
          <w:sz w:val="20"/>
          <w:szCs w:val="20"/>
          <w:rtl w:val="true"/>
        </w:rPr>
        <w:t>. .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تراجمة وحیه، لیست فی ق، س</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ق، 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کان، لیست فی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الفقرة کما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باسمه و نسبه نصّوا به و بشّروا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جهلهم فهو کافر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ج، 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الحروبیة و النوریة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فی الظهر، و قیل فی القلب إذا انقطع مات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بکربلاء سنان لعنه 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المنصور بالسم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م،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أغلب المصادر التاریخیة تثبت أنّ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کانت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یوافق ملک المعتز، بل صرّح بعضهم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فی أیامه بینما بویع المعتضد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هلک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الکامل لابن الاثیر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تکون تصحیف المعتمد، لقرب عهد الامام بملکه، و لأنّ هناک قولا بذلک قد نسب إلی الصدوق بالذات، راجع المناقب لابن شهر آشوب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الدّعاء أثبتناه من ر، ج، و بحار الأنوار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و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ق، 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اغفر لنا ما 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ر، ج، و فی بحار الأنوار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اغفر لنا ما یدّعون</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لیست فی ق، 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 هی فی غیر محلّها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ج،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دعوی انطباع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اتباع الجنّ</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 و فی کتاب اللّه تعالی إمامان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ج، و هامش ر، و بحار الأنوار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وفاء العباد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 جمیع الأنبیاء، و 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 نبوّة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 زیادة، و أنکر نبوّة محمد صلّی اللّه علیه و آله و سلّم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ق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بمنزلة من أنکر بجمیع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الطوسی فی أمالیه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اللّه فطمها و فطم من أحبّها من النّار</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 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نفی ارثها من أبیها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عصاها فقد عصانی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یغوث و یعوق و نسر و هبل، و الانداد 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الاناث الاربع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 و العزی و مناة و الشعری، و ممّن عبدهم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برسله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و کذا التی بعدها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کمن ترک الصّلاة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 و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فلانهم فیسبّوا علیکم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نزلت الآیة،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علیّا، فان ذاته ممسوس بذات اللّه</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سبّ اللّه کبّه اللّه علی منخریه یوم القیامة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الطوسی فی أمالیه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الحجرات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اعلمکم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البرقی فی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مصابیح الظلم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الکلینیّ فی الکافی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التّقیّة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و فضلها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عیون أخبار الرّضا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الکبائر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عبد المطلب کانت حجة أبا طالب و وصیّه،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کانت حجة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أثبتناه من ج و بحار الأنوار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المصنّف فی الفقیه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الاکفاء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بناتنا لبنینا و بنونا لبناتنا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الآل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الظّالم لنفسه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النّساء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أمالیه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التسعین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ادّعی الامامة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الکریمة فی سورة الزمر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کافة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 الاولی و فتح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الخیط الذی یقوم علیه البناء، و یسمی التّرّ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النهایة لابن الاثیر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 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بأکملها لیست فی م، ق، س، و أثبتناها من ج و بحار الأنوار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tl w:val="true"/>
        </w:rPr>
        <w:t>، و قد تقرأ فی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کتبت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و هم فیه و سهو من ناقله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مسندا المصنّف فی الخصال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حدیث الأربعمائة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الباذنجان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المصنّف فی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 الطبیب طبیبا لذلک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الخرنوبة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رواه مسندا الکلینی فی الکافی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بتحریر رقبة، لیست فی ق، 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کثر الکذب علیّ</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ق،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یأثم و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ج، و هامش م؛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ر،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رجل آخر من رسول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سمعت رسول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ینسه،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یتشبّه به، و 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یشتبه به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اخلانی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أحدا من أبنائی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م، 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أجابنی فیک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الأوصیاء الّذین هم الأصفیاء الأوصیاء بعدی</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 ج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جعفر بن محمّد، ثمّ موسی بن جعفر، ثمّ علیّ بن موسی، ثمّ محمّد بن علیّ، ثمّ علیّ بن محمّد، ثمّ الحسن بن علیّ الزّکیّ، ثمّ من اسمه اسمی، و لونه لونی، القائم بأمر اللّه فی آخر الزّمان، مهدیّ أمّة محمّد جدّه، الّذی یملأ</w:t>
      </w:r>
      <w:r>
        <w:rPr>
          <w:rFonts w:eastAsia="IRNazanin" w:cs="IRNazanin"/>
          <w:b w:val="false"/>
          <w:bCs w:val="false"/>
          <w:i w:val="false"/>
          <w:iCs w:val="false"/>
          <w:color w:val="333333"/>
          <w:sz w:val="20"/>
          <w:szCs w:val="20"/>
          <w:rtl w:val="true"/>
        </w:rPr>
        <w:t>. . .»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و 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 س، 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سلیم فی کتابه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المصنف فی الخصال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احفظه و لا تنسه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29.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22900</Words>
  <Characters>86947</Characters>
  <CharactersWithSpaces>109424</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2026-08-16T10:21:59Z</dcterms:created>
  <dc:creator>ghaemiyeh.com</dc:creator>
  <dc:description/>
  <dc:language>en-US</dc:language>
  <cp:lastModifiedBy/>
  <dcterms:modified xsi:type="dcterms:W3CDTF">2026-08-16T13:52:07Z</dcterms:modified>
  <cp:revision>1</cp:revision>
  <dc:subject/>
  <dc:title>الاعتقادات للشیخ الصدوق</dc:title>
</cp:coreProperties>
</file>

<file path=docProps/custom.xml><?xml version="1.0" encoding="utf-8"?>
<Properties xmlns="http://schemas.openxmlformats.org/officeDocument/2006/custom-properties" xmlns:vt="http://schemas.openxmlformats.org/officeDocument/2006/docPropsVTypes"/>
</file>