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پیشینه مبانی و دیدگاه های جریان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51586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75158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51590_211673320">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5751592_211673320">
            <w:r>
              <w:rPr>
                <w:webHidden/>
                <w:rStyle w:val="IndexLink"/>
                <w:rtl w:val="true"/>
              </w:rPr>
              <w:t>وهابيت چيست؟</w:t>
            </w:r>
            <w:r>
              <w:rPr>
                <w:rStyle w:val="IndexLink"/>
                <w:rtl w:val="true"/>
              </w:rPr>
              <w:tab/>
            </w:r>
            <w:r>
              <w:rPr>
                <w:rStyle w:val="IndexLink"/>
              </w:rPr>
              <w:t>8</w:t>
            </w:r>
          </w:hyperlink>
        </w:p>
        <w:p>
          <w:pPr>
            <w:pStyle w:val="Contents2"/>
            <w:tabs>
              <w:tab w:val="clear" w:pos="8743"/>
              <w:tab w:val="right" w:pos="9026" w:leader="dot"/>
            </w:tabs>
            <w:rPr/>
          </w:pPr>
          <w:hyperlink w:anchor="__RefHeading___Toc5751594_211673320">
            <w:r>
              <w:rPr>
                <w:webHidden/>
                <w:rStyle w:val="IndexLink"/>
                <w:rtl w:val="true"/>
              </w:rPr>
              <w:t>مبانى و ديدگاه‌هاى جريان وهابى كدام است؟</w:t>
            </w:r>
            <w:r>
              <w:rPr>
                <w:rStyle w:val="IndexLink"/>
                <w:rtl w:val="true"/>
              </w:rPr>
              <w:tab/>
            </w:r>
            <w:r>
              <w:rPr>
                <w:rStyle w:val="IndexLink"/>
              </w:rPr>
              <w:t>11</w:t>
            </w:r>
          </w:hyperlink>
        </w:p>
        <w:p>
          <w:pPr>
            <w:pStyle w:val="Contents3"/>
            <w:tabs>
              <w:tab w:val="clear" w:pos="8459"/>
              <w:tab w:val="right" w:pos="9026" w:leader="dot"/>
            </w:tabs>
            <w:rPr/>
          </w:pPr>
          <w:hyperlink w:anchor="__RefHeading___Toc5751596_211673320">
            <w:r>
              <w:rPr>
                <w:webHidden/>
                <w:rStyle w:val="IndexLink"/>
                <w:rtl w:val="true"/>
              </w:rPr>
              <w:t>الف</w:t>
            </w:r>
            <w:r>
              <w:rPr>
                <w:rStyle w:val="IndexLink"/>
                <w:rtl w:val="true"/>
              </w:rPr>
              <w:t xml:space="preserve">: </w:t>
            </w:r>
            <w:r>
              <w:rPr>
                <w:rStyle w:val="IndexLink"/>
                <w:rtl w:val="true"/>
              </w:rPr>
              <w:t>مبانى انديشه وهابى‌</w:t>
            </w:r>
            <w:r>
              <w:rPr>
                <w:rStyle w:val="IndexLink"/>
                <w:rtl w:val="true"/>
              </w:rPr>
              <w:tab/>
            </w:r>
            <w:r>
              <w:rPr>
                <w:rStyle w:val="IndexLink"/>
              </w:rPr>
              <w:t>11</w:t>
            </w:r>
          </w:hyperlink>
        </w:p>
        <w:p>
          <w:pPr>
            <w:pStyle w:val="Contents4"/>
            <w:tabs>
              <w:tab w:val="clear" w:pos="8176"/>
              <w:tab w:val="right" w:pos="9026" w:leader="dot"/>
            </w:tabs>
            <w:rPr/>
          </w:pPr>
          <w:hyperlink w:anchor="__RefHeading___Toc5751598_21167332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5751600_211673320">
            <w:r>
              <w:rPr>
                <w:webHidden/>
                <w:rStyle w:val="IndexLink"/>
              </w:rPr>
              <w:t>1</w:t>
            </w:r>
            <w:r>
              <w:rPr>
                <w:rStyle w:val="IndexLink"/>
                <w:rtl w:val="true"/>
              </w:rPr>
              <w:t xml:space="preserve">. </w:t>
            </w:r>
            <w:r>
              <w:rPr>
                <w:rStyle w:val="IndexLink"/>
                <w:rtl w:val="true"/>
              </w:rPr>
              <w:t>توحيد</w:t>
            </w:r>
            <w:r>
              <w:rPr>
                <w:rStyle w:val="IndexLink"/>
                <w:rtl w:val="true"/>
              </w:rPr>
              <w:tab/>
            </w:r>
            <w:r>
              <w:rPr>
                <w:rStyle w:val="IndexLink"/>
              </w:rPr>
              <w:t>11</w:t>
            </w:r>
          </w:hyperlink>
        </w:p>
        <w:p>
          <w:pPr>
            <w:pStyle w:val="Contents4"/>
            <w:tabs>
              <w:tab w:val="clear" w:pos="8176"/>
              <w:tab w:val="right" w:pos="9026" w:leader="dot"/>
            </w:tabs>
            <w:rPr/>
          </w:pPr>
          <w:hyperlink w:anchor="__RefHeading___Toc5751602_211673320">
            <w:r>
              <w:rPr>
                <w:webHidden/>
                <w:rStyle w:val="IndexLink"/>
              </w:rPr>
              <w:t>2</w:t>
            </w:r>
            <w:r>
              <w:rPr>
                <w:rStyle w:val="IndexLink"/>
                <w:rtl w:val="true"/>
              </w:rPr>
              <w:t xml:space="preserve">. </w:t>
            </w:r>
            <w:r>
              <w:rPr>
                <w:rStyle w:val="IndexLink"/>
                <w:rtl w:val="true"/>
              </w:rPr>
              <w:t>شرك‌</w:t>
            </w:r>
            <w:r>
              <w:rPr>
                <w:rStyle w:val="IndexLink"/>
                <w:rtl w:val="true"/>
              </w:rPr>
              <w:tab/>
            </w:r>
            <w:r>
              <w:rPr>
                <w:rStyle w:val="IndexLink"/>
              </w:rPr>
              <w:t>15</w:t>
            </w:r>
          </w:hyperlink>
        </w:p>
        <w:p>
          <w:pPr>
            <w:pStyle w:val="Contents3"/>
            <w:tabs>
              <w:tab w:val="clear" w:pos="8459"/>
              <w:tab w:val="right" w:pos="9026" w:leader="dot"/>
            </w:tabs>
            <w:rPr/>
          </w:pPr>
          <w:hyperlink w:anchor="__RefHeading___Toc5751604_211673320">
            <w:r>
              <w:rPr>
                <w:webHidden/>
                <w:rStyle w:val="IndexLink"/>
                <w:rtl w:val="true"/>
              </w:rPr>
              <w:t>ب</w:t>
            </w:r>
            <w:r>
              <w:rPr>
                <w:rStyle w:val="IndexLink"/>
                <w:rtl w:val="true"/>
              </w:rPr>
              <w:t xml:space="preserve">: </w:t>
            </w:r>
            <w:r>
              <w:rPr>
                <w:rStyle w:val="IndexLink"/>
                <w:rtl w:val="true"/>
              </w:rPr>
              <w:t>ديدگاه‌هاى جريان وهابى‌</w:t>
            </w:r>
            <w:r>
              <w:rPr>
                <w:rStyle w:val="IndexLink"/>
                <w:rtl w:val="true"/>
              </w:rPr>
              <w:tab/>
            </w:r>
            <w:r>
              <w:rPr>
                <w:rStyle w:val="IndexLink"/>
              </w:rPr>
              <w:t>17</w:t>
            </w:r>
          </w:hyperlink>
        </w:p>
        <w:p>
          <w:pPr>
            <w:pStyle w:val="Contents4"/>
            <w:tabs>
              <w:tab w:val="clear" w:pos="8176"/>
              <w:tab w:val="right" w:pos="9026" w:leader="dot"/>
            </w:tabs>
            <w:rPr/>
          </w:pPr>
          <w:hyperlink w:anchor="__RefHeading___Toc5751606_2116733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5751608_211673320">
            <w:r>
              <w:rPr>
                <w:webHidden/>
                <w:rStyle w:val="IndexLink"/>
              </w:rPr>
              <w:t>1</w:t>
            </w:r>
            <w:r>
              <w:rPr>
                <w:rStyle w:val="IndexLink"/>
                <w:rtl w:val="true"/>
              </w:rPr>
              <w:t xml:space="preserve">. </w:t>
            </w:r>
            <w:r>
              <w:rPr>
                <w:rStyle w:val="IndexLink"/>
                <w:rtl w:val="true"/>
              </w:rPr>
              <w:t>تكفير غير وهابيان‌</w:t>
            </w:r>
            <w:r>
              <w:rPr>
                <w:rStyle w:val="IndexLink"/>
                <w:rtl w:val="true"/>
              </w:rPr>
              <w:tab/>
            </w:r>
            <w:r>
              <w:rPr>
                <w:rStyle w:val="IndexLink"/>
              </w:rPr>
              <w:t>18</w:t>
            </w:r>
          </w:hyperlink>
        </w:p>
        <w:p>
          <w:pPr>
            <w:pStyle w:val="Contents4"/>
            <w:tabs>
              <w:tab w:val="clear" w:pos="8176"/>
              <w:tab w:val="right" w:pos="9026" w:leader="dot"/>
            </w:tabs>
            <w:rPr/>
          </w:pPr>
          <w:hyperlink w:anchor="__RefHeading___Toc5751610_211673320">
            <w:r>
              <w:rPr>
                <w:webHidden/>
                <w:rStyle w:val="IndexLink"/>
              </w:rPr>
              <w:t>2</w:t>
            </w:r>
            <w:r>
              <w:rPr>
                <w:rStyle w:val="IndexLink"/>
                <w:rtl w:val="true"/>
              </w:rPr>
              <w:t xml:space="preserve">. </w:t>
            </w:r>
            <w:r>
              <w:rPr>
                <w:rStyle w:val="IndexLink"/>
                <w:rtl w:val="true"/>
              </w:rPr>
              <w:t>بدعت دانستن تبرّك و استشفاء به آثار اولياى خدا</w:t>
            </w:r>
            <w:r>
              <w:rPr>
                <w:rStyle w:val="IndexLink"/>
                <w:rtl w:val="true"/>
              </w:rPr>
              <w:tab/>
            </w:r>
            <w:r>
              <w:rPr>
                <w:rStyle w:val="IndexLink"/>
              </w:rPr>
              <w:t>22</w:t>
            </w:r>
          </w:hyperlink>
        </w:p>
        <w:p>
          <w:pPr>
            <w:pStyle w:val="Contents4"/>
            <w:tabs>
              <w:tab w:val="clear" w:pos="8176"/>
              <w:tab w:val="right" w:pos="9026" w:leader="dot"/>
            </w:tabs>
            <w:rPr/>
          </w:pPr>
          <w:hyperlink w:anchor="__RefHeading___Toc5751612_211673320">
            <w:r>
              <w:rPr>
                <w:webHidden/>
                <w:rStyle w:val="IndexLink"/>
              </w:rPr>
              <w:t>3</w:t>
            </w:r>
            <w:r>
              <w:rPr>
                <w:rStyle w:val="IndexLink"/>
                <w:rtl w:val="true"/>
              </w:rPr>
              <w:t xml:space="preserve">. </w:t>
            </w:r>
            <w:r>
              <w:rPr>
                <w:rStyle w:val="IndexLink"/>
                <w:rtl w:val="true"/>
              </w:rPr>
              <w:t xml:space="preserve">روا ندانستن زيارت قبور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اهل بيت </w:t>
            </w:r>
            <w:r>
              <w:rPr>
                <w:rStyle w:val="IndexLink"/>
                <w:rtl w:val="true"/>
              </w:rPr>
              <w:t>(</w:t>
            </w:r>
            <w:r>
              <w:rPr>
                <w:rStyle w:val="IndexLink"/>
                <w:rtl w:val="true"/>
              </w:rPr>
              <w:t>عليهم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5751614_211673320">
            <w:r>
              <w:rPr>
                <w:webHidden/>
                <w:rStyle w:val="IndexLink"/>
              </w:rPr>
              <w:t>4</w:t>
            </w:r>
            <w:r>
              <w:rPr>
                <w:rStyle w:val="IndexLink"/>
                <w:rtl w:val="true"/>
              </w:rPr>
              <w:t xml:space="preserve">. </w:t>
            </w:r>
            <w:r>
              <w:rPr>
                <w:rStyle w:val="IndexLink"/>
                <w:rtl w:val="true"/>
              </w:rPr>
              <w:t xml:space="preserve">روا ندانستن شفاعت‌خواهى، توسّل و استغاثه به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اهل بيت </w:t>
            </w:r>
            <w:r>
              <w:rPr>
                <w:rStyle w:val="IndexLink"/>
                <w:rtl w:val="true"/>
              </w:rPr>
              <w:t>(</w:t>
            </w:r>
            <w:r>
              <w:rPr>
                <w:rStyle w:val="IndexLink"/>
                <w:rtl w:val="true"/>
              </w:rPr>
              <w:t>عليهم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5751616_211673320">
            <w:r>
              <w:rPr>
                <w:webHidden/>
                <w:rStyle w:val="IndexLink"/>
              </w:rPr>
              <w:t>5</w:t>
            </w:r>
            <w:r>
              <w:rPr>
                <w:rStyle w:val="IndexLink"/>
                <w:rtl w:val="true"/>
              </w:rPr>
              <w:t xml:space="preserve">. </w:t>
            </w:r>
            <w:r>
              <w:rPr>
                <w:rStyle w:val="IndexLink"/>
                <w:rtl w:val="true"/>
              </w:rPr>
              <w:t>شرك پنداشتن سوگند به غير خدا</w:t>
            </w:r>
            <w:r>
              <w:rPr>
                <w:rStyle w:val="IndexLink"/>
                <w:rtl w:val="true"/>
              </w:rPr>
              <w:tab/>
            </w:r>
            <w:r>
              <w:rPr>
                <w:rStyle w:val="IndexLink"/>
              </w:rPr>
              <w:t>39</w:t>
            </w:r>
          </w:hyperlink>
        </w:p>
        <w:p>
          <w:pPr>
            <w:pStyle w:val="Contents2"/>
            <w:tabs>
              <w:tab w:val="clear" w:pos="8743"/>
              <w:tab w:val="right" w:pos="9026" w:leader="dot"/>
            </w:tabs>
            <w:rPr/>
          </w:pPr>
          <w:hyperlink w:anchor="__RefHeading___Toc5751618_211673320">
            <w:r>
              <w:rPr>
                <w:webHidden/>
                <w:rStyle w:val="IndexLink"/>
                <w:rtl w:val="true"/>
              </w:rPr>
              <w:t>تهمت‌ها و نسبت‌هاى ناروايى كه توسّط وهابيان به شيعه وارد شده كدام است؟</w:t>
            </w:r>
            <w:r>
              <w:rPr>
                <w:rStyle w:val="IndexLink"/>
                <w:rtl w:val="true"/>
              </w:rPr>
              <w:tab/>
            </w:r>
            <w:r>
              <w:rPr>
                <w:rStyle w:val="IndexLink"/>
              </w:rPr>
              <w:t>42</w:t>
            </w:r>
          </w:hyperlink>
        </w:p>
        <w:p>
          <w:pPr>
            <w:pStyle w:val="Contents3"/>
            <w:tabs>
              <w:tab w:val="clear" w:pos="8459"/>
              <w:tab w:val="right" w:pos="9026" w:leader="dot"/>
            </w:tabs>
            <w:rPr/>
          </w:pPr>
          <w:hyperlink w:anchor="__RefHeading___Toc5751620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751622_211673320">
            <w:r>
              <w:rPr>
                <w:webHidden/>
                <w:rStyle w:val="IndexLink"/>
              </w:rPr>
              <w:t>1</w:t>
            </w:r>
            <w:r>
              <w:rPr>
                <w:rStyle w:val="IndexLink"/>
                <w:rtl w:val="true"/>
              </w:rPr>
              <w:t xml:space="preserve">. </w:t>
            </w:r>
            <w:r>
              <w:rPr>
                <w:rStyle w:val="IndexLink"/>
                <w:rtl w:val="true"/>
              </w:rPr>
              <w:t>مسأله تحريف قرآن‌</w:t>
            </w:r>
            <w:r>
              <w:rPr>
                <w:rStyle w:val="IndexLink"/>
                <w:rtl w:val="true"/>
              </w:rPr>
              <w:tab/>
            </w:r>
            <w:r>
              <w:rPr>
                <w:rStyle w:val="IndexLink"/>
              </w:rPr>
              <w:t>45</w:t>
            </w:r>
          </w:hyperlink>
        </w:p>
        <w:p>
          <w:pPr>
            <w:pStyle w:val="Contents4"/>
            <w:tabs>
              <w:tab w:val="clear" w:pos="8176"/>
              <w:tab w:val="right" w:pos="9026" w:leader="dot"/>
            </w:tabs>
            <w:rPr/>
          </w:pPr>
          <w:hyperlink w:anchor="__RefHeading___Toc5751624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751626_211673320">
            <w:r>
              <w:rPr>
                <w:webHidden/>
                <w:rStyle w:val="IndexLink"/>
                <w:rtl w:val="true"/>
              </w:rPr>
              <w:t>دلايل تحريف‌ناپذيرى قرآن‌</w:t>
            </w:r>
            <w:r>
              <w:rPr>
                <w:rStyle w:val="IndexLink"/>
                <w:rtl w:val="true"/>
              </w:rPr>
              <w:tab/>
            </w:r>
            <w:r>
              <w:rPr>
                <w:rStyle w:val="IndexLink"/>
              </w:rPr>
              <w:t>46</w:t>
            </w:r>
          </w:hyperlink>
        </w:p>
        <w:p>
          <w:pPr>
            <w:pStyle w:val="Contents5"/>
            <w:tabs>
              <w:tab w:val="clear" w:pos="7892"/>
              <w:tab w:val="right" w:pos="9026" w:leader="dot"/>
            </w:tabs>
            <w:rPr/>
          </w:pPr>
          <w:hyperlink w:anchor="__RefHeading___Toc5751628_211673320">
            <w:r>
              <w:rPr>
                <w:webHidden/>
                <w:rStyle w:val="IndexLink"/>
                <w:rtl w:val="true"/>
              </w:rPr>
              <w:t>الف</w:t>
            </w:r>
            <w:r>
              <w:rPr>
                <w:rStyle w:val="IndexLink"/>
                <w:rtl w:val="true"/>
              </w:rPr>
              <w:t xml:space="preserve">- </w:t>
            </w:r>
            <w:r>
              <w:rPr>
                <w:rStyle w:val="IndexLink"/>
                <w:rtl w:val="true"/>
              </w:rPr>
              <w:t>آيه محافظت‌</w:t>
            </w:r>
            <w:r>
              <w:rPr>
                <w:rStyle w:val="IndexLink"/>
                <w:rtl w:val="true"/>
              </w:rPr>
              <w:tab/>
            </w:r>
            <w:r>
              <w:rPr>
                <w:rStyle w:val="IndexLink"/>
              </w:rPr>
              <w:t>46</w:t>
            </w:r>
          </w:hyperlink>
        </w:p>
        <w:p>
          <w:pPr>
            <w:pStyle w:val="Contents5"/>
            <w:tabs>
              <w:tab w:val="clear" w:pos="7892"/>
              <w:tab w:val="right" w:pos="9026" w:leader="dot"/>
            </w:tabs>
            <w:rPr/>
          </w:pPr>
          <w:hyperlink w:anchor="__RefHeading___Toc5751630_211673320">
            <w:r>
              <w:rPr>
                <w:webHidden/>
                <w:rStyle w:val="IndexLink"/>
                <w:rtl w:val="true"/>
              </w:rPr>
              <w:t>ب</w:t>
            </w:r>
            <w:r>
              <w:rPr>
                <w:rStyle w:val="IndexLink"/>
                <w:rtl w:val="true"/>
              </w:rPr>
              <w:t xml:space="preserve">- </w:t>
            </w:r>
            <w:r>
              <w:rPr>
                <w:rStyle w:val="IndexLink"/>
                <w:rtl w:val="true"/>
              </w:rPr>
              <w:t>آيه نفى باطل‌</w:t>
            </w:r>
            <w:r>
              <w:rPr>
                <w:rStyle w:val="IndexLink"/>
                <w:rtl w:val="true"/>
              </w:rPr>
              <w:tab/>
            </w:r>
            <w:r>
              <w:rPr>
                <w:rStyle w:val="IndexLink"/>
              </w:rPr>
              <w:t>48</w:t>
            </w:r>
          </w:hyperlink>
        </w:p>
        <w:p>
          <w:pPr>
            <w:pStyle w:val="Contents5"/>
            <w:tabs>
              <w:tab w:val="clear" w:pos="7892"/>
              <w:tab w:val="right" w:pos="9026" w:leader="dot"/>
            </w:tabs>
            <w:rPr/>
          </w:pPr>
          <w:hyperlink w:anchor="__RefHeading___Toc5751632_211673320">
            <w:r>
              <w:rPr>
                <w:webHidden/>
                <w:rStyle w:val="IndexLink"/>
                <w:rtl w:val="true"/>
              </w:rPr>
              <w:t>ج</w:t>
            </w:r>
            <w:r>
              <w:rPr>
                <w:rStyle w:val="IndexLink"/>
                <w:rtl w:val="true"/>
              </w:rPr>
              <w:t xml:space="preserve">- </w:t>
            </w:r>
            <w:r>
              <w:rPr>
                <w:rStyle w:val="IndexLink"/>
                <w:rtl w:val="true"/>
              </w:rPr>
              <w:t>حديث متواتر ثقلين‌</w:t>
            </w:r>
            <w:r>
              <w:rPr>
                <w:rStyle w:val="IndexLink"/>
                <w:rtl w:val="true"/>
              </w:rPr>
              <w:tab/>
            </w:r>
            <w:r>
              <w:rPr>
                <w:rStyle w:val="IndexLink"/>
              </w:rPr>
              <w:t>48</w:t>
            </w:r>
          </w:hyperlink>
        </w:p>
        <w:p>
          <w:pPr>
            <w:pStyle w:val="Contents5"/>
            <w:tabs>
              <w:tab w:val="clear" w:pos="7892"/>
              <w:tab w:val="right" w:pos="9026" w:leader="dot"/>
            </w:tabs>
            <w:rPr/>
          </w:pPr>
          <w:hyperlink w:anchor="__RefHeading___Toc5751634_211673320">
            <w:r>
              <w:rPr>
                <w:webHidden/>
                <w:rStyle w:val="IndexLink"/>
                <w:rtl w:val="true"/>
              </w:rPr>
              <w:t>د</w:t>
            </w:r>
            <w:r>
              <w:rPr>
                <w:rStyle w:val="IndexLink"/>
                <w:rtl w:val="true"/>
              </w:rPr>
              <w:t xml:space="preserve">- </w:t>
            </w:r>
            <w:r>
              <w:rPr>
                <w:rStyle w:val="IndexLink"/>
                <w:rtl w:val="true"/>
              </w:rPr>
              <w:t>احاديث عرض‌</w:t>
            </w:r>
            <w:r>
              <w:rPr>
                <w:rStyle w:val="IndexLink"/>
                <w:rtl w:val="true"/>
              </w:rPr>
              <w:tab/>
            </w:r>
            <w:r>
              <w:rPr>
                <w:rStyle w:val="IndexLink"/>
              </w:rPr>
              <w:t>49</w:t>
            </w:r>
          </w:hyperlink>
        </w:p>
        <w:p>
          <w:pPr>
            <w:pStyle w:val="Contents5"/>
            <w:tabs>
              <w:tab w:val="clear" w:pos="7892"/>
              <w:tab w:val="right" w:pos="9026" w:leader="dot"/>
            </w:tabs>
            <w:rPr/>
          </w:pPr>
          <w:hyperlink w:anchor="__RefHeading___Toc5751636_211673320">
            <w:r>
              <w:rPr>
                <w:webHidden/>
                <w:rStyle w:val="IndexLink"/>
                <w:rtl w:val="true"/>
              </w:rPr>
              <w:t>ه</w:t>
            </w:r>
            <w:r>
              <w:rPr>
                <w:rStyle w:val="IndexLink"/>
                <w:rtl w:val="true"/>
              </w:rPr>
              <w:t xml:space="preserve">- </w:t>
            </w:r>
            <w:r>
              <w:rPr>
                <w:rStyle w:val="IndexLink"/>
                <w:rtl w:val="true"/>
              </w:rPr>
              <w:t>اعتبار سندى و تاريخى‌</w:t>
            </w:r>
            <w:r>
              <w:rPr>
                <w:rStyle w:val="IndexLink"/>
                <w:rtl w:val="true"/>
              </w:rPr>
              <w:tab/>
            </w:r>
            <w:r>
              <w:rPr>
                <w:rStyle w:val="IndexLink"/>
              </w:rPr>
              <w:t>50</w:t>
            </w:r>
          </w:hyperlink>
        </w:p>
        <w:p>
          <w:pPr>
            <w:pStyle w:val="Contents5"/>
            <w:tabs>
              <w:tab w:val="clear" w:pos="7892"/>
              <w:tab w:val="right" w:pos="9026" w:leader="dot"/>
            </w:tabs>
            <w:rPr/>
          </w:pPr>
          <w:hyperlink w:anchor="__RefHeading___Toc5751638_211673320">
            <w:r>
              <w:rPr>
                <w:webHidden/>
                <w:rStyle w:val="IndexLink"/>
                <w:rtl w:val="true"/>
              </w:rPr>
              <w:t>و</w:t>
            </w:r>
            <w:r>
              <w:rPr>
                <w:rStyle w:val="IndexLink"/>
                <w:rtl w:val="true"/>
              </w:rPr>
              <w:t xml:space="preserve">- </w:t>
            </w:r>
            <w:r>
              <w:rPr>
                <w:rStyle w:val="IndexLink"/>
                <w:rtl w:val="true"/>
              </w:rPr>
              <w:t>اعتبار دلالى و اعجاز قرآن‌</w:t>
            </w:r>
            <w:r>
              <w:rPr>
                <w:rStyle w:val="IndexLink"/>
                <w:rtl w:val="true"/>
              </w:rPr>
              <w:tab/>
            </w:r>
            <w:r>
              <w:rPr>
                <w:rStyle w:val="IndexLink"/>
              </w:rPr>
              <w:t>51</w:t>
            </w:r>
          </w:hyperlink>
        </w:p>
        <w:p>
          <w:pPr>
            <w:pStyle w:val="Contents4"/>
            <w:tabs>
              <w:tab w:val="clear" w:pos="8176"/>
              <w:tab w:val="right" w:pos="9026" w:leader="dot"/>
            </w:tabs>
            <w:rPr/>
          </w:pPr>
          <w:hyperlink w:anchor="__RefHeading___Toc5751640_211673320">
            <w:r>
              <w:rPr>
                <w:webHidden/>
                <w:rStyle w:val="IndexLink"/>
                <w:rtl w:val="true"/>
              </w:rPr>
              <w:t>بررسى احاديث تحريف قرآن در منابع روايى شيعه و اهل سنّت‌</w:t>
            </w:r>
            <w:r>
              <w:rPr>
                <w:rStyle w:val="IndexLink"/>
                <w:rtl w:val="true"/>
              </w:rPr>
              <w:tab/>
            </w:r>
            <w:r>
              <w:rPr>
                <w:rStyle w:val="IndexLink"/>
              </w:rPr>
              <w:t>53</w:t>
            </w:r>
          </w:hyperlink>
        </w:p>
        <w:p>
          <w:pPr>
            <w:pStyle w:val="Contents5"/>
            <w:tabs>
              <w:tab w:val="clear" w:pos="7892"/>
              <w:tab w:val="right" w:pos="9026" w:leader="dot"/>
            </w:tabs>
            <w:rPr/>
          </w:pPr>
          <w:hyperlink w:anchor="__RefHeading___Toc5751642_211673320">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5751644_211673320">
            <w:r>
              <w:rPr>
                <w:webHidden/>
                <w:rStyle w:val="IndexLink"/>
              </w:rPr>
              <w:t>1</w:t>
            </w:r>
            <w:r>
              <w:rPr>
                <w:rStyle w:val="IndexLink"/>
                <w:rtl w:val="true"/>
              </w:rPr>
              <w:t xml:space="preserve">. </w:t>
            </w:r>
            <w:r>
              <w:rPr>
                <w:rStyle w:val="IndexLink"/>
                <w:rtl w:val="true"/>
              </w:rPr>
              <w:t>بررسى احاديث تحريف قرآن در منابع روايى شيعه؛</w:t>
            </w:r>
            <w:r>
              <w:rPr>
                <w:rStyle w:val="IndexLink"/>
                <w:rtl w:val="true"/>
              </w:rPr>
              <w:tab/>
            </w:r>
            <w:r>
              <w:rPr>
                <w:rStyle w:val="IndexLink"/>
              </w:rPr>
              <w:t>53</w:t>
            </w:r>
          </w:hyperlink>
        </w:p>
        <w:p>
          <w:pPr>
            <w:pStyle w:val="Contents5"/>
            <w:tabs>
              <w:tab w:val="clear" w:pos="7892"/>
              <w:tab w:val="right" w:pos="9026" w:leader="dot"/>
            </w:tabs>
            <w:rPr/>
          </w:pPr>
          <w:hyperlink w:anchor="__RefHeading___Toc5751646_211673320">
            <w:r>
              <w:rPr>
                <w:webHidden/>
                <w:rStyle w:val="IndexLink"/>
              </w:rPr>
              <w:t>2</w:t>
            </w:r>
            <w:r>
              <w:rPr>
                <w:rStyle w:val="IndexLink"/>
                <w:rtl w:val="true"/>
              </w:rPr>
              <w:t xml:space="preserve">. </w:t>
            </w:r>
            <w:r>
              <w:rPr>
                <w:rStyle w:val="IndexLink"/>
                <w:rtl w:val="true"/>
              </w:rPr>
              <w:t>بررسى احاديث تحريف قرآن در منابع روايى اهل‌سنّت؛</w:t>
            </w:r>
            <w:r>
              <w:rPr>
                <w:rStyle w:val="IndexLink"/>
                <w:rtl w:val="true"/>
              </w:rPr>
              <w:tab/>
            </w:r>
            <w:r>
              <w:rPr>
                <w:rStyle w:val="IndexLink"/>
              </w:rPr>
              <w:t>60</w:t>
            </w:r>
          </w:hyperlink>
        </w:p>
        <w:p>
          <w:pPr>
            <w:pStyle w:val="Contents4"/>
            <w:tabs>
              <w:tab w:val="clear" w:pos="8176"/>
              <w:tab w:val="right" w:pos="9026" w:leader="dot"/>
            </w:tabs>
            <w:rPr/>
          </w:pPr>
          <w:hyperlink w:anchor="__RefHeading___Toc5751648_211673320">
            <w:r>
              <w:rPr>
                <w:webHidden/>
                <w:rStyle w:val="IndexLink"/>
                <w:rtl w:val="true"/>
              </w:rPr>
              <w:t>ديدگاه دانشمندان شيعه درباره عدم تحريف قرآن‌</w:t>
            </w:r>
            <w:r>
              <w:rPr>
                <w:rStyle w:val="IndexLink"/>
                <w:rtl w:val="true"/>
              </w:rPr>
              <w:tab/>
            </w:r>
            <w:r>
              <w:rPr>
                <w:rStyle w:val="IndexLink"/>
              </w:rPr>
              <w:t>63</w:t>
            </w:r>
          </w:hyperlink>
        </w:p>
        <w:p>
          <w:pPr>
            <w:pStyle w:val="Contents3"/>
            <w:tabs>
              <w:tab w:val="clear" w:pos="8459"/>
              <w:tab w:val="right" w:pos="9026" w:leader="dot"/>
            </w:tabs>
            <w:rPr/>
          </w:pPr>
          <w:hyperlink w:anchor="__RefHeading___Toc5751650_211673320">
            <w:r>
              <w:rPr>
                <w:webHidden/>
                <w:rStyle w:val="IndexLink"/>
              </w:rPr>
              <w:t>2</w:t>
            </w:r>
            <w:r>
              <w:rPr>
                <w:rStyle w:val="IndexLink"/>
                <w:rtl w:val="true"/>
              </w:rPr>
              <w:t xml:space="preserve">. </w:t>
            </w:r>
            <w:r>
              <w:rPr>
                <w:rStyle w:val="IndexLink"/>
                <w:rtl w:val="true"/>
              </w:rPr>
              <w:t>مسأله خيانت جبرئيل در وحى‌</w:t>
            </w:r>
            <w:r>
              <w:rPr>
                <w:rStyle w:val="IndexLink"/>
                <w:rtl w:val="true"/>
              </w:rPr>
              <w:tab/>
            </w:r>
            <w:r>
              <w:rPr>
                <w:rStyle w:val="IndexLink"/>
              </w:rPr>
              <w:t>64</w:t>
            </w:r>
          </w:hyperlink>
        </w:p>
        <w:p>
          <w:pPr>
            <w:pStyle w:val="Contents2"/>
            <w:tabs>
              <w:tab w:val="clear" w:pos="8743"/>
              <w:tab w:val="right" w:pos="9026" w:leader="dot"/>
            </w:tabs>
            <w:rPr/>
          </w:pPr>
          <w:hyperlink w:anchor="__RefHeading___Toc5751652_211673320">
            <w:r>
              <w:rPr>
                <w:webHidden/>
                <w:rStyle w:val="IndexLink"/>
                <w:rtl w:val="true"/>
              </w:rPr>
              <w:t>فهرست 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6_2667"/>
      <w:bookmarkStart w:id="1" w:name="pg676_2667"/>
      <w:bookmarkEnd w:id="1"/>
    </w:p>
    <w:p>
      <w:pPr>
        <w:pStyle w:val="Heading2"/>
        <w:numPr>
          <w:ilvl w:val="1"/>
          <w:numId w:val="1"/>
        </w:numPr>
        <w:rPr/>
      </w:pPr>
      <w:bookmarkStart w:id="2" w:name="pg676_2667"/>
      <w:bookmarkStart w:id="3" w:name="__RefHeading___Toc5751586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بابايي آريا، علي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پيشينه، مباني و ديدگاه‌هاي جريان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علي بابائي‌آريا ؛ زير نظر محمدتقي فخلعي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 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فخلعي محمدتقي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۵۲۷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۱۲۸۵۷۱۷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51588_211673320"/>
      <w:bookmarkStart w:id="6" w:name="_Toc2"/>
      <w:bookmarkEnd w:id="5"/>
      <w:r>
        <w:rPr>
          <w:rtl w:val="true"/>
        </w:rPr>
        <w:t>اشاره</w:t>
      </w:r>
      <w:bookmarkStart w:id="7" w:name="pg676_2673"/>
      <w:bookmarkEnd w:id="6"/>
    </w:p>
    <w:p>
      <w:pPr>
        <w:pStyle w:val="Heading2"/>
        <w:numPr>
          <w:ilvl w:val="1"/>
          <w:numId w:val="1"/>
        </w:numPr>
        <w:rPr/>
      </w:pPr>
      <w:bookmarkStart w:id="8" w:name="__RefHeading___Toc5751590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از بدو انعقاد نطفه وهابيت به مثابه يك جريان فكرى در جهان اسلام، نقدهاى گوناگون از هر سو متوجه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عالمان شيعى، بزرگانى چون شيخ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مُحسن امين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الارتياب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نگارش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نقدهاى مبارك علمى در بحبوحه تلاش‌هاى گسترده اين جريان براى بسط نفوذ خود در قلمروهاى اسلامى كه با خشونت‌ورزى‌هاى بى حد و حصر و تصفيه‌هاى خونين همراه بود، به ثمر رسيد و اين رشته تا به امروز امتداد يافت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راقم اين سطور آنچه پيش از نقد و ارزيابى موردى عناصر فكرى وهابى تأمل برانگيز مى‌نمايد خشونت وحشتناكى است كه بر فضاى اين انديشه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استبداد ورزى و انحصار طلبى،</w:t>
      </w:r>
    </w:p>
    <w:p>
      <w:pPr>
        <w:pStyle w:val="BookText"/>
        <w:rPr/>
      </w:pPr>
      <w:r>
        <w:rPr>
          <w:rFonts w:ascii="Amiri" w:hAnsi="Amiri" w:eastAsia="Amiri" w:cs="Amiri"/>
          <w:color w:val="111111"/>
          <w:sz w:val="28"/>
          <w:sz w:val="28"/>
          <w:szCs w:val="28"/>
          <w:rtl w:val="true"/>
          <w:lang w:bidi="ar-SA"/>
        </w:rPr>
        <w:t>در همه جلوه‌هاى آن زشت است و در عرصه فكر زشت‌تر و نفرت آورتر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كدامين خطر بالاتر از اين كه گروهى خود را مفسر انحصارى دين بنامد و در صحنه مباحث نظرى كه ميدان اجتهاد و رقابت علمى است كمترين نقد را بر نتابد و هر آن كه به مانند او نينديشد را به بدترين تهمت‌ها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وهابيت كه با عنوان نهضت اصلاح طلبى دينى قامت افراشت، به بهانه اصلاح باورهاى دينى، همه انديشه‌هاى مخالف را در ميان فِرَق سنى و غير سنى به كفر و بدعت،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اتهام كفر ورَمى به بدعت به دو حربه هميشگى بر سر مخالفان تبديل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آنگاه پر اهميت‌تر مى‌نمايد كه نمودهاى خشونت فكرى و نظرى به خشونت‌هاى اجتماعى و فيزيكى انجامد و بساط افراطى‌گرى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وهابيت در تحقق آن نقش بى بديلى ايفا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غمگينانه بايستى از حوادث خونين، ويرانگرى‌هاى آثار مذهبى به عنوان ميوه تلخ و زهرآگين خشونت‌هاى تئوريك وهابى‌ها ياد كرد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اعتدال، رحمت و شفقت عناصر ريشه يافته در فطرت ناب انسانى هستند، شايد بتوان به راحتى پيش بينى كرد كه ادامه ويرانگرى‌هاى فكرى و فيزيكى از سوى هواداران اين جريان خشن نه تنها به</w:t>
      </w:r>
    </w:p>
    <w:p>
      <w:pPr>
        <w:pStyle w:val="BookText"/>
        <w:rPr/>
      </w:pPr>
      <w:r>
        <w:rPr>
          <w:rFonts w:ascii="Amiri" w:hAnsi="Amiri" w:eastAsia="Amiri" w:cs="Amiri"/>
          <w:color w:val="111111"/>
          <w:sz w:val="28"/>
          <w:sz w:val="28"/>
          <w:szCs w:val="28"/>
          <w:rtl w:val="true"/>
          <w:lang w:bidi="ar-SA"/>
        </w:rPr>
        <w:t>تقويت بنيان آن كمك نمى‌كند، بلكه به تدريج آن را به سراشيب سقوط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وهابيگرى در شروع حركت خود توانست با به كارگيرى برخى از عناصر جاذب فكرى، شيفتگانى براى خود بيابد، ليكن استمرار نعره‌هاى خشن طائفى گرى و استبداد ورزى‌هاى فكرى در دورانى كه نسل كنونى جهان اسلام بيش از هر زمان تشنه اعتدال مذهبى، تعامُل فكرى و وحدت و هم‌دلى است، جُز به دميدن حسِّ نفرت بر عليه خويش كمك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فرهيختگان و جوانان پرشور جهان اسلام به درستى پى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ساز معضلات فكرى و اجتماعى جهان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حاميان سياسى و مالى هم به مدد قدرت و مال، بيش از اين نخواهند توانست به حفظ و تقويت جايگاه آن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روزى كه بنيان اعتدال، تعاطف و تراحم وبردبارى مذهبى در دل و جان عالمان و مبلغان مذاهب و در گستره جوامع اسلامى ريشه يابد و خشونت‌ورزى‌ها و رفتارهاى نابردبارانه براى هميشه مطرود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تقى فخلعى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استاديار دانشگاه فردوسى مشهد</w:t>
      </w:r>
      <w:bookmarkStart w:id="10" w:name="pg676_2677"/>
    </w:p>
    <w:p>
      <w:pPr>
        <w:pStyle w:val="Heading2"/>
        <w:numPr>
          <w:ilvl w:val="1"/>
          <w:numId w:val="1"/>
        </w:numPr>
        <w:rPr/>
      </w:pPr>
      <w:bookmarkStart w:id="11" w:name="__RefHeading___Toc5751592_211673320"/>
      <w:bookmarkStart w:id="12" w:name="_Toc4"/>
      <w:bookmarkEnd w:id="10"/>
      <w:bookmarkEnd w:id="11"/>
      <w:r>
        <w:rPr>
          <w:rtl w:val="true"/>
        </w:rPr>
        <w:t>وهابيت چيست؟</w:t>
      </w:r>
      <w:bookmarkEnd w:id="12"/>
    </w:p>
    <w:p>
      <w:pPr>
        <w:pStyle w:val="BookText"/>
        <w:rPr/>
      </w:pPr>
      <w:r>
        <w:rPr>
          <w:rFonts w:ascii="IRNazanin" w:hAnsi="IRNazanin" w:eastAsia="IRNazanin"/>
          <w:color w:val="111111"/>
          <w:sz w:val="28"/>
          <w:sz w:val="28"/>
          <w:szCs w:val="28"/>
          <w:rtl w:val="true"/>
          <w:lang w:bidi="fa-IR"/>
        </w:rPr>
        <w:t>چه پيشينه و چه نسبتى با اهل سنّت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جريانى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است كه در قرن اخير ظهور كرده و پيرو برخى انديشه‌هاى افراطى سده‌هاى سوم و چهارم اسلامى است؛ به اين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بنيان‌گذار آن شخصى موسوم به محمّد بن عبد الوهاب</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عيينه يكى از شهرهاى صحراى معروف نجد است كه از تحجّر و خشونت بهره‌اى تام داشت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زمان حيات پدرش كه عالم حنبلى برجسته‌اى بود مجال چندانى براى دعوت به سوى انديشه‌هاى تند و غير منطقى خويش نيافت، امّا پس از درگذشت پدر توانست با طرح و تبليغ برداشت بى‌پايه‌اى از مفهوم توحيد و شرك، و بزرگنمايى باورهاى خرافى موجود در عربستان، در ميان مردم ساده، گرسنه و بدوى نجد نفوذ يابد، و پس از مهاجرت به درعيه و برخوردارى از حمايت سياسى و</w:t>
      </w:r>
    </w:p>
    <w:p>
      <w:pPr>
        <w:pStyle w:val="BookText"/>
        <w:rPr/>
      </w:pPr>
      <w:r>
        <w:rPr>
          <w:rFonts w:ascii="IRNazanin" w:hAnsi="IRNazanin" w:eastAsia="IRNazanin"/>
          <w:color w:val="111111"/>
          <w:sz w:val="28"/>
          <w:sz w:val="28"/>
          <w:szCs w:val="28"/>
          <w:rtl w:val="true"/>
          <w:lang w:bidi="fa-IR"/>
        </w:rPr>
        <w:t>نظامى حاكم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قابل انتقاد و نادرست خويش را بر سرتاسر عربستان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سعود بزرگ آل سعود و نياى پادشاهان كنونى در عربستان سعودى است، كه توانست در سايه حمايت خود از نفوذ مذهبى محمّد بن عبدالوهاب و تبليغات وى به سيطره سياسى بر منطقه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نفوذ مذهبى و سياسى اين دو در درعيه، نقطه آغاز تاريخ خونين وهابيت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محمّد بن سعود با فتواى جاهلانه محمّد بن عبدالوهاب كه عموم مسلمانان غير وهابى را به نوعى مشرك و شايسته مرگ مى‌پنداشت، مسلمانان و شيعيان بى‌گناه سرزمين‌هاى اطراف را مورد هجوم و تاراج قرار داد، و جنگ‌هاى خونين فراوانى را به برخى دولت‌هاى اسلامى تحميل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محمّد بن عبد الوهاب برخى فرزندان و نوادگان او كه در عربستان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 راه او را ادامه دادند و با تأليف رسائل وكتب وهابى، واستفاده‌از روش‌هاى خشونت‌آميز نقش غير قابل انكارى را در تحكيم مبانى و گسترش ديدگاه‌هاى وهابى در ميان سرزمين‌هاى اسلامى ايفا نمودند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و تكفير برجسته‌ترين ويژگى تاريخى جريان وهابى بوده است؛ ويژگى‌اى كه اكنون نيز در سرزمين عربستان كما بيش به چشم مى‌خورد، و گاهى</w:t>
      </w:r>
    </w:p>
    <w:p>
      <w:pPr>
        <w:pStyle w:val="BookText"/>
        <w:rPr/>
      </w:pPr>
      <w:r>
        <w:rPr>
          <w:rFonts w:ascii="Amiri" w:hAnsi="Amiri" w:eastAsia="Amiri" w:cs="Amiri"/>
          <w:color w:val="111111"/>
          <w:sz w:val="28"/>
          <w:sz w:val="28"/>
          <w:szCs w:val="28"/>
          <w:rtl w:val="true"/>
          <w:lang w:bidi="ar-SA"/>
        </w:rPr>
        <w:t>در فتاواى عجيب مفتيان وهابى عليه شيعيان، و رفتار خشن و بى‌ادبانه برخى وهابيان با حجّاج بيت الله الحرام و زائران مدينه منوّره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وهابيان خود را پيروان مذهب اسلامى نوينى نمى‌دانند و بيشتر به مذهب حنبلى كه يكى از مذاهب چهارگانه اهل سنّت است منتسب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تقريباً ترديدى نيست كه مبانى و ديدگاه‌هاى اينان تفاوت‌هاى جدّى و غير قابل اغماضى با مبانى و ديدگاه‌هاى مذهب حنبلى و به طور كلّى همه مذاهب اسلامى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برخى اين جريان فكرى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را يك مذهب نوين انحرافى بر مى‌شمارند كه نسبت قابل توجّهى با مذاهب اهل سنّت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بايد توجّه داشت كه بسيارى از مخالفان سرسخت اين جريان از عالمان برجسته اهل سنّت و فقيهان حنبلى بوده‌اند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نخستين كسى كه انديشه‌هاى افراطى و خطرناك محمّد بن عبد الوهاب را مورد مخالفت و انتقاد جدّى قرار داد برادر وى سليمان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فقيهان برجسته حنبلى بود كه در اين باره دو كتاب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الردّ على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الإلهية في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bookmarkStart w:id="13" w:name="pg676_2680"/>
    </w:p>
    <w:p>
      <w:pPr>
        <w:pStyle w:val="Heading2"/>
        <w:numPr>
          <w:ilvl w:val="1"/>
          <w:numId w:val="1"/>
        </w:numPr>
        <w:rPr/>
      </w:pPr>
      <w:bookmarkStart w:id="14" w:name="__RefHeading___Toc5751594_211673320"/>
      <w:bookmarkStart w:id="15" w:name="_Toc5"/>
      <w:bookmarkEnd w:id="13"/>
      <w:bookmarkEnd w:id="14"/>
      <w:r>
        <w:rPr>
          <w:rtl w:val="true"/>
        </w:rPr>
        <w:t>مبانى و ديدگاه‌هاى جريان وهابى كدام است؟</w:t>
      </w:r>
      <w:bookmarkEnd w:id="15"/>
    </w:p>
    <w:p>
      <w:pPr>
        <w:pStyle w:val="Heading3"/>
        <w:numPr>
          <w:ilvl w:val="2"/>
          <w:numId w:val="1"/>
        </w:numPr>
        <w:rPr/>
      </w:pPr>
      <w:bookmarkStart w:id="16" w:name="__RefHeading___Toc5751596_211673320"/>
      <w:bookmarkStart w:id="17" w:name="_Toc6"/>
      <w:bookmarkEnd w:id="16"/>
      <w:r>
        <w:rPr>
          <w:rtl w:val="true"/>
        </w:rPr>
        <w:t>الف</w:t>
      </w:r>
      <w:r>
        <w:rPr>
          <w:rtl w:val="true"/>
        </w:rPr>
        <w:t xml:space="preserve">: </w:t>
      </w:r>
      <w:r>
        <w:rPr>
          <w:rtl w:val="true"/>
        </w:rPr>
        <w:t>مبانى انديشه وهابى‌</w:t>
      </w:r>
      <w:bookmarkEnd w:id="17"/>
    </w:p>
    <w:p>
      <w:pPr>
        <w:pStyle w:val="Heading4"/>
        <w:numPr>
          <w:ilvl w:val="3"/>
          <w:numId w:val="1"/>
        </w:numPr>
        <w:rPr/>
      </w:pPr>
      <w:bookmarkStart w:id="18" w:name="__RefHeading___Toc5751598_2116733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در متون وهابى هيچ واژگانى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 لذا مهم‌ترين پايه انديشه وهابى را بايد در ذيل اين دو واژه بررسى كرد</w:t>
      </w:r>
      <w:r>
        <w:rPr>
          <w:rFonts w:eastAsia="IRNazanin" w:cs="IRNazanin"/>
          <w:color w:val="111111"/>
          <w:sz w:val="28"/>
          <w:szCs w:val="28"/>
          <w:rtl w:val="true"/>
          <w:lang w:bidi="fa-IR"/>
        </w:rPr>
        <w:t>.</w:t>
      </w:r>
    </w:p>
    <w:p>
      <w:pPr>
        <w:pStyle w:val="Heading4"/>
        <w:numPr>
          <w:ilvl w:val="3"/>
          <w:numId w:val="1"/>
        </w:numPr>
        <w:rPr/>
      </w:pPr>
      <w:bookmarkStart w:id="20" w:name="__RefHeading___Toc5751600_211673320"/>
      <w:bookmarkStart w:id="21" w:name="_Toc8"/>
      <w:bookmarkEnd w:id="20"/>
      <w:r>
        <w:rPr/>
        <w:t>1</w:t>
      </w:r>
      <w:r>
        <w:rPr>
          <w:rtl w:val="true"/>
        </w:rPr>
        <w:t xml:space="preserve">. </w:t>
      </w:r>
      <w:r>
        <w:rPr>
          <w:rtl w:val="true"/>
        </w:rPr>
        <w:t>توحيد</w:t>
      </w:r>
      <w:bookmarkEnd w:id="21"/>
    </w:p>
    <w:p>
      <w:pPr>
        <w:pStyle w:val="BookText"/>
        <w:rPr/>
      </w:pPr>
      <w:r>
        <w:rPr>
          <w:rFonts w:ascii="IRNazanin" w:hAnsi="IRNazanin" w:eastAsia="IRNazanin"/>
          <w:color w:val="111111"/>
          <w:sz w:val="28"/>
          <w:sz w:val="28"/>
          <w:szCs w:val="28"/>
          <w:rtl w:val="true"/>
          <w:lang w:bidi="fa-IR"/>
        </w:rPr>
        <w:t>توحيد واژه مقدّسى است كه از فطرت پاك انسان برخاسته، و نه تنها همه مذاهب اسلامى، كه همه اديان آسمانى را به هم پيوند مى‌دهد، و به معناى يگانه شمردن خداوند در آفرينش، تشريع و تدبير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هر كس با اين مفهوم مبارك آشنا و بدان باورمند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چنان‌چه مفهوم نبوّت پيامبر اكرم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بشناسد و باور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از ديدگاه محمّد بن عبد الوهاب و پيروان او، توحيد بر دو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ربوبيت و توحيد الوهيت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اينان از توحيد ربوبيت اعتقاد به يكتايى</w:t>
      </w:r>
    </w:p>
    <w:p>
      <w:pPr>
        <w:pStyle w:val="BookText"/>
        <w:rPr/>
      </w:pPr>
      <w:r>
        <w:rPr>
          <w:rFonts w:ascii="IRNazanin" w:hAnsi="IRNazanin" w:eastAsia="IRNazanin"/>
          <w:color w:val="111111"/>
          <w:sz w:val="28"/>
          <w:sz w:val="28"/>
          <w:szCs w:val="28"/>
          <w:rtl w:val="true"/>
          <w:lang w:bidi="fa-IR"/>
        </w:rPr>
        <w:t>خداوند در آفرينش، تشريع و تدبير جهانيان است، و منظورشان از توحيد الوهيت چيزى است كه آن را توحيد در عبادت خداوند معرّفى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وهابيان توحيدى كه در برابر شرك قرار مى‌گيرد تركيبى از هر دو بخش است، بنابراين، امكان دارد كسى به يگانگى خداوند متعال در آفرينش، تشريع و تدبير جهانيان معتقد باشد، امّا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غير خداوند يكتا را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پيداست، وهابيان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تفسير موسّعى ارائه مى‌دهند و آن را شامل هر گونه تعظيم و تقديس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آنند كه مسلمانان با تقديس برخى چيزها يا جاها، و حتى تعظيم قبور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صالحين در واقع آنان را عبادت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اينان هر گونه توسّل به اولياء و عرض حاجت در نزد قبور آنان از مصاديق كفر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عبادت را علاوه بر اسلام و ايمان و احسان، شامل دعا، بيم، اميد، توكّل، رغبت، هراس، خشوع، خشيت، انابه، كمك گرفتن، استعاذه، استغاثه، ذبح و نذر مى‌دانند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طبيعى است كه چنين تفسير فراخ و بى‌پايه‌اى از عبادت بسيارى از يكتا پرستان و مسلمانان جهان را در جرگه مشركان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تالى فاسد و لازمه خطرناكى است كه متأسفانه وهابيان بى‌باكانه بدان ملتزم و پاى‌بند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ديدگاه محمد بن عبد الوهاب درباره توحيد در يكى از رسائل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الأربعة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رساله مختصر، با استناد به ظواهر برخى آيات و روايات، براى توحيد چهار ركن ذكر نموده، كه در واقع اركان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 كه كافران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خداوند خالق و مدبّر جهان است اقرار داشتند ولى اين اقرار آنان را به اسلام وارد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كافران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جز براى نزديكى به خداوند و طلب شفاعت بت‌ها را نمى‌خوانيم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كسانى ظهور فرمود كه از حيث عبادت متفاوت بودند؛ برخى فرشتگان، برخى پيامبران و صالحان، برخى درختان و سنگ‌ها، و برخى خورشيد و ماه را مى‌پرستيدند،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آنان جهاد فرمود و ميان آنان فرقى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مشركان زمان ما از مشركان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مشركان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هنگام آسايش شرك مى‌ورزيدند و به هنگام دشوارى مخلص مى‌شدند، اما مشركان زمان ما، هم به هنگام آسايش و هم به هنگام دشوارى مشرك‌اند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وى در رساله ديگرش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ديدگاه افراطى پاى فشرده، و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مسلمانان غير وهابى را مشرك، و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آنان را كافر، بت‌پرست، مرتد، منافق و شيطان خوانده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عجيب تقريباً در همه منابع وهابى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برخى چون سيد محسن امين عاملى </w:t>
      </w:r>
      <w:r>
        <w:rPr>
          <w:rStyle w:val="FootnoteAnchor"/>
          <w:rtl w:val="true"/>
        </w:rPr>
        <w:footnoteReference w:id="6"/>
      </w:r>
      <w:r>
        <w:rPr>
          <w:rFonts w:ascii="Amiri" w:hAnsi="Amiri" w:eastAsia="Amiri" w:cs="Amiri"/>
          <w:color w:val="111111"/>
          <w:sz w:val="28"/>
          <w:sz w:val="28"/>
          <w:szCs w:val="28"/>
          <w:rtl w:val="true"/>
          <w:lang w:bidi="ar-SA"/>
        </w:rPr>
        <w:t xml:space="preserve">و سيد مرتضى عسكرى </w:t>
      </w:r>
      <w:r>
        <w:rPr>
          <w:rStyle w:val="FootnoteAnchor"/>
          <w:rtl w:val="true"/>
        </w:rPr>
        <w:footnoteReference w:id="7"/>
      </w:r>
      <w:r>
        <w:rPr>
          <w:rFonts w:ascii="Amiri" w:hAnsi="Amiri" w:eastAsia="Amiri" w:cs="Amiri"/>
          <w:color w:val="111111"/>
          <w:sz w:val="28"/>
          <w:sz w:val="28"/>
          <w:szCs w:val="28"/>
          <w:rtl w:val="true"/>
          <w:lang w:bidi="ar-SA"/>
        </w:rPr>
        <w:t>وهابيان را به</w:t>
      </w:r>
      <w:bookmarkStart w:id="22" w:name="pg676_2684"/>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و ديدگاه‌هاى اينان را به تفصيل با ديدگاه‌هاى آنان مقايسه و تطبيق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كه محمّد بن عبد الوهاب با وجود اهمّيتى كه براى مسأله توحيد قائل بود خدا را جسم مى‌انگاشت، و باور داشت كه نشستن خدا بر عرش و نزول او به آسمان دنيا و ثبوت دست و روى و جهت براى او حقيقى است</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از اين رو است كه سليمان عوده از توحيد محمد بن عبدالوهاب با نام توحيد صحرايى و بدوى ياد مى‌كند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برخى محقّقان معاصر درباره اين موضوع كتابى با عنوان الوهابية و التوحيد نگاشته‌اند، و در آن به نقد و بررسى توحيد وهابى پرداخته‌اند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23" w:name="__RefHeading___Toc5751602_211673320"/>
      <w:bookmarkStart w:id="24" w:name="_Toc9"/>
      <w:bookmarkEnd w:id="23"/>
      <w:r>
        <w:rPr/>
        <w:t>2</w:t>
      </w:r>
      <w:r>
        <w:rPr>
          <w:rtl w:val="true"/>
        </w:rPr>
        <w:t xml:space="preserve">. </w:t>
      </w:r>
      <w:r>
        <w:rPr>
          <w:rtl w:val="true"/>
        </w:rPr>
        <w:t>شرك‌</w:t>
      </w:r>
      <w:bookmarkEnd w:id="24"/>
    </w:p>
    <w:p>
      <w:pPr>
        <w:pStyle w:val="BookText"/>
        <w:rPr/>
      </w:pPr>
      <w:r>
        <w:rPr>
          <w:rFonts w:ascii="IRNazanin" w:hAnsi="IRNazanin" w:eastAsia="IRNazanin"/>
          <w:color w:val="111111"/>
          <w:sz w:val="28"/>
          <w:sz w:val="28"/>
          <w:szCs w:val="28"/>
          <w:rtl w:val="true"/>
          <w:lang w:bidi="fa-IR"/>
        </w:rPr>
        <w:t xml:space="preserve">لازمه تفسير به رأى و تلقّى گستاخانه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 بى‌پايه، عجيب و خطرناك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شرك را به سه گونه تقسيم مى‌نمايند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دو</w:t>
      </w:r>
    </w:p>
    <w:p>
      <w:pPr>
        <w:pStyle w:val="BookText"/>
        <w:rPr/>
      </w:pPr>
      <w:r>
        <w:rPr>
          <w:rFonts w:ascii="IRNazanin" w:hAnsi="IRNazanin" w:eastAsia="IRNazanin"/>
          <w:color w:val="111111"/>
          <w:sz w:val="28"/>
          <w:sz w:val="28"/>
          <w:szCs w:val="28"/>
          <w:rtl w:val="true"/>
          <w:lang w:bidi="fa-IR"/>
        </w:rPr>
        <w:t>بخش 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كسانى چون فرعون، فلاسفه، عرفا، غلات جهميه و قرامطه در ذيل آن قرار مى‌گيرند، و اين نوع بدترين انواع شرك است </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بدون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كسانى چون نصارى و مجوس،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قبرپرست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روح اوليا توان تصرّف قائل‌اند را شامل مى‌شود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گونه ديگر شرك در توحيد اسماء و صفات است كه شامل تشبيه خالق به مخلوق مى‌شود و از گونه پيشين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سوم شرك در توحيد عبادت است كه به دو نوع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نوع آن كه كسى يا چيزى غير خدا را بخوانند و از او مانند خدا طلب شفاعت نمايند و نسبت به او مانند خدا خوف و رجا داشته باشند و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رياء و خودنمايى و مانند آن اطلاق مى‌شود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ناگفته پيداست كه چنين تقسيم‌هاى سليقه‌اى و بخش‌بندى‌هاى غير عالمانه از مفاهيم بنيادين اسلامى خبطى خطرناك و خطايى بس فاحش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ترديدى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مانند توحيد</w:t>
      </w:r>
      <w:bookmarkStart w:id="25" w:name="pg676_2686"/>
    </w:p>
    <w:p>
      <w:pPr>
        <w:pStyle w:val="BookText"/>
        <w:rPr/>
      </w:pPr>
      <w:bookmarkEnd w:id="25"/>
      <w:r>
        <w:rPr>
          <w:rFonts w:ascii="IRNazanin" w:hAnsi="IRNazanin" w:eastAsia="IRNazanin"/>
          <w:color w:val="111111"/>
          <w:sz w:val="28"/>
          <w:sz w:val="28"/>
          <w:szCs w:val="28"/>
          <w:rtl w:val="true"/>
          <w:lang w:bidi="fa-IR"/>
        </w:rPr>
        <w:t>مفهومى كاملًا مشخّص و تعريفى روشن و بى‌ابهام دارد، و آن همانا شريك دانستن مخلوقى با خداوند يكتا در آفرينش، تشريع و تدبير جهانيان است؛ چيزى كه دامن عموم مسلمانان از آن پاك و پيراسته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كدام مسلمان است كه كسى يا چيزى را در آفرينش و تدبير جهانيان و يا تشريع احكام دين شريك پروردگار بى‌همتا و داراى توانايى و اختيارات او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كدامين مسلمان در هر گوشه اين جهان،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معصوم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بندگان برگزيده و اولياى شايسته خداوند بلند مرتبه مى‌انگارد؟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السقاف در كتاب صحيح شرح العقيدة الطحاوية به تفصيل اين مبناى وهابى را به نقد كشيده است</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همچنين، استاد جعفر سبحانى درباره اين موضوع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 الشرك فى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در آن مبانى نادرست انديشه وهابى را مورد ارزيابى قرار داده است</w:t>
      </w:r>
      <w:r>
        <w:rPr>
          <w:rFonts w:eastAsia="IRNazanin" w:cs="IRNazanin"/>
          <w:color w:val="111111"/>
          <w:sz w:val="28"/>
          <w:szCs w:val="28"/>
          <w:rtl w:val="true"/>
          <w:lang w:bidi="fa-IR"/>
        </w:rPr>
        <w:t>.</w:t>
      </w:r>
    </w:p>
    <w:p>
      <w:pPr>
        <w:pStyle w:val="Heading3"/>
        <w:numPr>
          <w:ilvl w:val="2"/>
          <w:numId w:val="1"/>
        </w:numPr>
        <w:rPr/>
      </w:pPr>
      <w:bookmarkStart w:id="26" w:name="__RefHeading___Toc5751604_211673320"/>
      <w:bookmarkStart w:id="27" w:name="_Toc10"/>
      <w:bookmarkEnd w:id="26"/>
      <w:r>
        <w:rPr>
          <w:rtl w:val="true"/>
        </w:rPr>
        <w:t>ب</w:t>
      </w:r>
      <w:r>
        <w:rPr>
          <w:rtl w:val="true"/>
        </w:rPr>
        <w:t xml:space="preserve">: </w:t>
      </w:r>
      <w:r>
        <w:rPr>
          <w:rtl w:val="true"/>
        </w:rPr>
        <w:t>ديدگاه‌هاى جريان وهابى‌</w:t>
      </w:r>
      <w:bookmarkEnd w:id="27"/>
    </w:p>
    <w:p>
      <w:pPr>
        <w:pStyle w:val="Heading4"/>
        <w:numPr>
          <w:ilvl w:val="3"/>
          <w:numId w:val="1"/>
        </w:numPr>
        <w:rPr/>
      </w:pPr>
      <w:bookmarkStart w:id="28" w:name="__RefHeading___Toc5751606_211673320"/>
      <w:bookmarkStart w:id="29" w:name="_Toc11"/>
      <w:bookmarkEnd w:id="28"/>
      <w:r>
        <w:rPr>
          <w:rtl w:val="true"/>
        </w:rPr>
        <w:t>اشاره</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مبانى متفاوت، نااستوار و بى‌پايه وهابيان، ديدگاه‌هاى آنان را به ديدگاه‌هايى ناهماهنگ، نادرست و غير منطقى تبديل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ديدگاه‌ها را در چند موضوع مى‌توان بررسى كرد</w:t>
      </w:r>
      <w:r>
        <w:rPr>
          <w:rFonts w:eastAsia="IRNazanin" w:cs="IRNazanin"/>
          <w:color w:val="111111"/>
          <w:sz w:val="28"/>
          <w:szCs w:val="28"/>
          <w:rtl w:val="true"/>
          <w:lang w:bidi="fa-IR"/>
        </w:rPr>
        <w:t>:</w:t>
      </w:r>
      <w:bookmarkStart w:id="30" w:name="pg676_2687"/>
    </w:p>
    <w:p>
      <w:pPr>
        <w:pStyle w:val="BookText"/>
        <w:rPr/>
      </w:pPr>
      <w:bookmarkEnd w:id="30"/>
      <w:r>
        <w:rPr>
          <w:rFonts w:ascii="IRNazanin" w:hAnsi="IRNazanin" w:eastAsia="IRNazanin"/>
          <w:color w:val="111111"/>
          <w:sz w:val="28"/>
          <w:sz w:val="28"/>
          <w:szCs w:val="28"/>
          <w:rtl w:val="true"/>
          <w:lang w:bidi="fa-IR"/>
        </w:rPr>
        <w:t>تكفير غير وهابيان، بدعت شمردن تبرّك و استشفا به آثار اولياى خدا، روا ندانستن زيارت قبور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 ندانستن توسّل و استشفاع به آنان و شرك پنداشتن سوگند به غير خدا</w:t>
      </w:r>
      <w:r>
        <w:rPr>
          <w:rFonts w:eastAsia="IRNazanin" w:cs="IRNazanin"/>
          <w:color w:val="111111"/>
          <w:sz w:val="28"/>
          <w:szCs w:val="28"/>
          <w:rtl w:val="true"/>
          <w:lang w:bidi="fa-IR"/>
        </w:rPr>
        <w:t>.</w:t>
      </w:r>
    </w:p>
    <w:p>
      <w:pPr>
        <w:pStyle w:val="Heading4"/>
        <w:numPr>
          <w:ilvl w:val="3"/>
          <w:numId w:val="1"/>
        </w:numPr>
        <w:rPr/>
      </w:pPr>
      <w:bookmarkStart w:id="31" w:name="__RefHeading___Toc5751608_211673320"/>
      <w:bookmarkStart w:id="32" w:name="_Toc12"/>
      <w:bookmarkEnd w:id="31"/>
      <w:r>
        <w:rPr/>
        <w:t>1</w:t>
      </w:r>
      <w:r>
        <w:rPr>
          <w:rtl w:val="true"/>
        </w:rPr>
        <w:t xml:space="preserve">. </w:t>
      </w:r>
      <w:r>
        <w:rPr>
          <w:rtl w:val="true"/>
        </w:rPr>
        <w:t>تكفير غير وهابيان‌</w:t>
      </w:r>
      <w:bookmarkEnd w:id="32"/>
    </w:p>
    <w:p>
      <w:pPr>
        <w:pStyle w:val="BookText"/>
        <w:rPr/>
      </w:pPr>
      <w:r>
        <w:rPr>
          <w:rFonts w:ascii="IRNazanin" w:hAnsi="IRNazanin" w:eastAsia="IRNazanin"/>
          <w:color w:val="111111"/>
          <w:sz w:val="28"/>
          <w:sz w:val="28"/>
          <w:szCs w:val="28"/>
          <w:rtl w:val="true"/>
          <w:lang w:bidi="fa-IR"/>
        </w:rPr>
        <w:t>تكفير عمل شومى است كه سرچشمه بسيارى از آشوب‌ها و فتنه‌هاى تاريك جهان اسلام در گذشته و حال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عمل زشت و غير اسلامى در تحوّلات كنونى و حوادث خونين برخى كشورهاى مسلمان مانند عراق و افغانستان برجسته و غير قابل انكار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پيشتر اشاره شد، كافر انگاشتن ديگران از مهم‌ترين ويژگى‌هاى وهابيان در گذشته و حال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 پايه برداشت نادرستى كه از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بيشتر مسلمانان در سرتاسر جهان را مشرك و سزاوار مرگ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به سختى ميان شرك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قرار دادن كس يا چيزى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فكرى يا گناه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مى‌گذارند و در تكفير افراد مسلمان و گروه‌هاى اسلامى غالباً شتابزده عمل مى‌كنند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قرآن كريم از كافر انگاشتن هر كه تظاهر به اسلام نمايد بر حذر داشته و فرموده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فِى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Style w:val="FootnoteAnchor"/>
          <w:rtl w:val="true"/>
        </w:rPr>
        <w:footnoteReference w:id="1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راه خدا بيرون مى‌رويد بررسى كنيد و به كسى كه براى شما تظاهر به اسلام مى‌نمايد نگوييد كه تو مؤمن نيستى تا فراخى زندگى دنيا را تحصيل نماييد چه آن‌كه نزد خدا بهره‌هاى فراوان است، شما پيشتر چنين بوديد پس خدا بر شما منّت نهاد، اكنون بررسى كنيد، همانا خداوند به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اين آيه روايت شده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ياران خود را به فرماندهى اسامه بن زيد براى جنگ با بنى ضمره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مردى از قبيله مذكور به نام مرداس روبه رو شدند كه مقدارى دارايى و شترى سرخ مو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مرداس با سپاه اسامه رو به رو شد بر آنان سلام كرد و كلمه شهادتين را بر زبان راند، امّا اسامه به سخن او توجّهى ننمود و وى را به قتل رساند تا دارايى و شتر او را بگيرد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اسامه پس از بازگشت ماجرا را به</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نديدى كه اسامه چگونه مردى را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گزارش را شنيد خطاب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 إله إلا الله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تنها براى اين شهادتين گفت كه جان خويش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دلش را شكافتى و از درونش آگاهى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مذكور نازل شد و اسامه سوگند ياد كرد كه ديگر هرگز با كسى كه شهادتين را بر زبان مى‌راند نجنگد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اين روايت و روايات فراوان ديگر همه حاكى از آنند كه نمى‌توان كسى را كه شهادتين بر زبان مى‌راند كافر يا مشرك دانست و به اين بهانه جان و مال او را حلال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هيچ يك از پيشوايان مذاهب و شخصيت‌هاى بزرگ اسلامى تكفير مسلمين را بر خود روا نمى‌شمرد و عناوينى چون كافر و مشرك را بر اهل قبله اطلاق نمى‌نمود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نمونه، بسيارى از فقيهان شافعى حتّى اقتدا به اهل بدعت‌ها در نماز را روا مى‌شمارند و تكفير آنان را بر نمى‌تابند، و اين ظاهر مذهب شافعى با استناد به</w:t>
      </w:r>
    </w:p>
    <w:p>
      <w:pPr>
        <w:pStyle w:val="BookText"/>
        <w:rPr/>
      </w:pPr>
      <w:r>
        <w:rPr>
          <w:rFonts w:ascii="IRNazanin" w:hAnsi="IRNazanin" w:eastAsia="IRNazanin"/>
          <w:color w:val="111111"/>
          <w:sz w:val="28"/>
          <w:sz w:val="28"/>
          <w:szCs w:val="28"/>
          <w:rtl w:val="true"/>
          <w:lang w:bidi="fa-IR"/>
        </w:rPr>
        <w:t>حديثى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پشت سر كسى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نماز گزاريد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فقيهان مشهور شافعى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همه سلف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 بودن نماز پشت سر معتزله و ديگران از اصحاب همه مذاهب اسلامى و روا بودن ازدواج و توارث با آنان و جريان همه احكام مسلمين بر آنان اتّفاق نظر داشته‌اند، و بسيارى از محقّقان اصحاب ما مانند ابو بكر بيهقى و ديگران، سخنانى كه از شافعى و ديگر علما مبنى بر تكفير قائلان به آفريده بودن قرآن رسيده است را بر كفران نعمت‌ها و نه كفر حقيقى حمل كرده‌اند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ابو بكر بيهقى از زاهر بن احمد سرخسى نقل كرده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مرگ ابو الحسن اشعرى در خانه من در بغداد نزديك شد، مرا به بالين خويش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كه من احدى از اهل اين قبله را تكفير نمى‌نمايم، چه آن‌كه همگان معبود واحدى را قصد مى‌كنند و اختلاف‌شان تنها در عبارات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ذهبى نيز پس از نقل اين حكايت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چنين ديدگاهى دارم؛ و شيخ ما ابن تيميه</w:t>
      </w:r>
      <w:bookmarkStart w:id="33" w:name="pg676_2691"/>
    </w:p>
    <w:p>
      <w:pPr>
        <w:pStyle w:val="BookText"/>
        <w:rPr/>
      </w:pPr>
      <w:bookmarkEnd w:id="33"/>
      <w:r>
        <w:rPr>
          <w:rFonts w:ascii="IRNazanin" w:hAnsi="IRNazanin" w:eastAsia="IRNazanin"/>
          <w:color w:val="111111"/>
          <w:sz w:val="28"/>
          <w:sz w:val="28"/>
          <w:szCs w:val="28"/>
          <w:rtl w:val="true"/>
          <w:lang w:bidi="fa-IR"/>
        </w:rPr>
        <w:t>نيز چنين ديدگاهى داشت و در اواخر عمرش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احدى از امت را تكفير نمى‌كنم، و با اشاره به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يحافظ على الوضوء إلا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كه هر كس با وضو به نمازهاى واجب ملتزم باشد مسلمان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اين‌جا روشن مى‌شود كه وهابيان بر خلاف اجماع اهل علم و ديدگاه همه عالمان اهل سنّت زبان به تكفير امّت گشوده‌اند و از راه سلف صالح منحرف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 سبحانى درباره اين موضوع كتابى با عنوان الإيمان و الكفر پرداخته، و در آن مسأله تكفير اهل قبله را مورد نقد و بررسى قرار داده است</w:t>
      </w:r>
      <w:r>
        <w:rPr>
          <w:rFonts w:eastAsia="IRNazanin" w:cs="IRNazanin"/>
          <w:color w:val="111111"/>
          <w:sz w:val="28"/>
          <w:szCs w:val="28"/>
          <w:rtl w:val="true"/>
          <w:lang w:bidi="fa-IR"/>
        </w:rPr>
        <w:t>.</w:t>
      </w:r>
    </w:p>
    <w:p>
      <w:pPr>
        <w:pStyle w:val="Heading4"/>
        <w:numPr>
          <w:ilvl w:val="3"/>
          <w:numId w:val="1"/>
        </w:numPr>
        <w:rPr/>
      </w:pPr>
      <w:bookmarkStart w:id="34" w:name="__RefHeading___Toc5751610_211673320"/>
      <w:bookmarkStart w:id="35" w:name="_Toc13"/>
      <w:bookmarkEnd w:id="34"/>
      <w:r>
        <w:rPr/>
        <w:t>2</w:t>
      </w:r>
      <w:r>
        <w:rPr>
          <w:rtl w:val="true"/>
        </w:rPr>
        <w:t xml:space="preserve">. </w:t>
      </w:r>
      <w:r>
        <w:rPr>
          <w:rtl w:val="true"/>
        </w:rPr>
        <w:t>بدعت دانستن تبرّك و استشفاء به آثار اولياى خدا</w:t>
      </w:r>
      <w:bookmarkEnd w:id="35"/>
    </w:p>
    <w:p>
      <w:pPr>
        <w:pStyle w:val="BookText"/>
        <w:rPr/>
      </w:pPr>
      <w:r>
        <w:rPr>
          <w:rFonts w:ascii="IRNazanin" w:hAnsi="IRNazanin" w:eastAsia="IRNazanin"/>
          <w:color w:val="111111"/>
          <w:sz w:val="28"/>
          <w:sz w:val="28"/>
          <w:szCs w:val="28"/>
          <w:rtl w:val="true"/>
          <w:lang w:bidi="fa-IR"/>
        </w:rPr>
        <w:t>يكى ديگر از ديدگاه‌هاى بى‌پايه وهابيان كه مخالف با كتاب خدا،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سلف صالح و احاديث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بدعت دانستن تبرّك و استشفاء به آثار اولياى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داستان زيبا و آموزنده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اذْهَبُوا بِقَمِيصِي هذا فَأَلْقُوهُ عَلى وَجْهِ أَبِي يَأْتِ بَصِيراً؛ </w:t>
      </w:r>
      <w:r>
        <w:rPr>
          <w:rStyle w:val="FootnoteAnchor"/>
          <w:rtl w:val="true"/>
        </w:rPr>
        <w:footnoteReference w:id="2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پيراهن من را ببريد و بر چهره</w:t>
      </w:r>
    </w:p>
    <w:p>
      <w:pPr>
        <w:pStyle w:val="BookText"/>
        <w:rPr/>
      </w:pPr>
      <w:r>
        <w:rPr>
          <w:rFonts w:ascii="IRNazanin" w:hAnsi="IRNazanin" w:eastAsia="IRNazanin"/>
          <w:color w:val="111111"/>
          <w:sz w:val="28"/>
          <w:sz w:val="28"/>
          <w:szCs w:val="28"/>
          <w:rtl w:val="true"/>
          <w:lang w:bidi="fa-IR"/>
        </w:rPr>
        <w:t>پدرم بيافكنيد تا بينايى خويش را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جاءَ الْبَشِيرُ أَلْقاهُ عَلي وَجْهِهِ فَارْتَدَّ بَصِيراً؛ </w:t>
      </w:r>
      <w:r>
        <w:rPr>
          <w:rStyle w:val="FootnoteAnchor"/>
          <w:rtl w:val="true"/>
        </w:rPr>
        <w:footnoteReference w:id="2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بشارت‌دهنده آمد آن پيراهن را بر چهره يعقوب افكند و وى بينايى خويش را باز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تبرّك و استشفاء به پيراهن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مبارك و شفابخش آن مورد تأييد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از متبرّك بودن برخى مكان‌ها و مبارك بودن اولياى خدا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درباره مكّه و مسجد الحرام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Style w:val="FootnoteAnchor"/>
          <w:rtl w:val="true"/>
        </w:rPr>
        <w:footnoteReference w:id="2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نخستين خانه‌اى كه براى مردم نهاده شد همانى است كه در مكّه مبارك و هدايتى براى جهانيان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قدس شريف مى‌فرمايد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الأَقْصَى الَّذِى بارَكْنا حَوْلَهُ؛ </w:t>
      </w:r>
      <w:r>
        <w:rPr>
          <w:rStyle w:val="FootnoteAnchor"/>
          <w:rtl w:val="true"/>
        </w:rPr>
        <w:footnoteReference w:id="2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الأقصايى كه پيرامون آن را بركت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سرزمين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و سرزمين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نيز</w:t>
      </w:r>
    </w:p>
    <w:p>
      <w:pPr>
        <w:pStyle w:val="BookText"/>
        <w:rPr/>
      </w:pPr>
      <w:r>
        <w:rPr>
          <w:rFonts w:ascii="IRNazanin" w:hAnsi="IRNazanin" w:eastAsia="IRNazanin"/>
          <w:color w:val="111111"/>
          <w:sz w:val="28"/>
          <w:sz w:val="28"/>
          <w:szCs w:val="28"/>
          <w:rtl w:val="true"/>
          <w:lang w:bidi="fa-IR"/>
        </w:rPr>
        <w:t>چنين تعبيرى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اسحاق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بارَكْنا عَلَيْهِ وَ عَلى إِسْحاقَ؛ </w:t>
      </w:r>
      <w:r>
        <w:rPr>
          <w:rStyle w:val="FootnoteAnchor"/>
          <w:rtl w:val="true"/>
        </w:rPr>
        <w:footnoteReference w:id="2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بركت نهاديم بر او و بر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زبان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جَعَلَنِى مُبارَكاً أَيْنَ ما كُنْتُ؛ </w:t>
      </w:r>
      <w:r>
        <w:rPr>
          <w:rStyle w:val="FootnoteAnchor"/>
          <w:rtl w:val="true"/>
        </w:rPr>
        <w:footnoteReference w:id="2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مرا هر جا كه باشم مبارك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 است كه تبرّك به اين بركات آسمانى و بهره‌مندى از آثار معنوى اين اماكن متبرّك و اولياى خداوند كارى روا و بسيار شايسته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منابع روايى اهل سنّت اخبار فراوانى وارد شده است كه از تبرّك جستن و استشفاى صحابه به آب وضو، </w:t>
      </w:r>
      <w:r>
        <w:rPr>
          <w:rStyle w:val="FootnoteAnchor"/>
          <w:rtl w:val="true"/>
        </w:rPr>
        <w:footnoteReference w:id="29"/>
      </w:r>
      <w:r>
        <w:rPr>
          <w:rFonts w:ascii="Amiri" w:hAnsi="Amiri" w:eastAsia="Amiri" w:cs="Amiri"/>
          <w:color w:val="111111"/>
          <w:sz w:val="28"/>
          <w:sz w:val="28"/>
          <w:szCs w:val="28"/>
          <w:rtl w:val="true"/>
          <w:lang w:bidi="ar-SA"/>
        </w:rPr>
        <w:t xml:space="preserve">كاسه </w:t>
      </w:r>
      <w:r>
        <w:rPr>
          <w:rStyle w:val="FootnoteAnchor"/>
          <w:rtl w:val="true"/>
        </w:rPr>
        <w:footnoteReference w:id="30"/>
      </w:r>
      <w:r>
        <w:rPr>
          <w:rFonts w:ascii="IRNazanin" w:hAnsi="IRNazanin" w:eastAsia="IRNazanin"/>
          <w:color w:val="111111"/>
          <w:sz w:val="28"/>
          <w:sz w:val="28"/>
          <w:szCs w:val="28"/>
          <w:rtl w:val="true"/>
          <w:lang w:bidi="fa-IR"/>
        </w:rPr>
        <w:t>و دست‌هاى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حكايت دارد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روايت شده است كه 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مى‌گرفت مردم آب وضوى آن حضرت را مى‌گرفتند و به صورت و بدن خود مى‌ماليدند؛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مى‌كنيد؟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مى‌جوييم،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از اين كار</w:t>
      </w:r>
    </w:p>
    <w:p>
      <w:pPr>
        <w:pStyle w:val="BookText"/>
        <w:rPr/>
      </w:pPr>
      <w:r>
        <w:rPr>
          <w:rFonts w:ascii="Amiri" w:hAnsi="Amiri" w:eastAsia="Amiri" w:cs="Amiri"/>
          <w:color w:val="111111"/>
          <w:sz w:val="28"/>
          <w:sz w:val="28"/>
          <w:szCs w:val="28"/>
          <w:rtl w:val="true"/>
          <w:lang w:bidi="ar-SA"/>
        </w:rPr>
        <w:t>نهى كند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دوست دارد كه خدا و پيامبرش او را دوست بدارند بايد به راستى سخن گويد و امانت‌دار باشد و همسايه خود را آزار نكند</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ابن حبان در صحيح خود بابى را با عنوان ذكر ما يستحبّ للمرء التبرّك بالصالحين و أشباههم </w:t>
      </w:r>
      <w:r>
        <w:rPr>
          <w:rStyle w:val="FootnoteAnchor"/>
          <w:rtl w:val="true"/>
        </w:rPr>
        <w:footnoteReference w:id="33"/>
      </w:r>
      <w:r>
        <w:rPr>
          <w:rFonts w:ascii="Amiri" w:hAnsi="Amiri" w:eastAsia="Amiri" w:cs="Amiri"/>
          <w:color w:val="111111"/>
          <w:sz w:val="28"/>
          <w:sz w:val="28"/>
          <w:szCs w:val="28"/>
          <w:rtl w:val="true"/>
          <w:lang w:bidi="ar-SA"/>
        </w:rPr>
        <w:t xml:space="preserve">و بابى را با عنوان ذكر إباحة التبرّك بوضوء الصالحين من أهل العلم </w:t>
      </w:r>
      <w:r>
        <w:rPr>
          <w:rStyle w:val="FootnoteAnchor"/>
          <w:rtl w:val="true"/>
        </w:rPr>
        <w:footnoteReference w:id="34"/>
      </w:r>
      <w:r>
        <w:rPr>
          <w:rFonts w:ascii="IRNazanin" w:hAnsi="IRNazanin" w:eastAsia="IRNazanin"/>
          <w:color w:val="111111"/>
          <w:sz w:val="28"/>
          <w:sz w:val="28"/>
          <w:szCs w:val="28"/>
          <w:rtl w:val="true"/>
          <w:lang w:bidi="fa-IR"/>
        </w:rPr>
        <w:t>گشوده و احاديثى را در اين باره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با نظر به اين آيات و روايات است كه بسيارى وهابيان ناگزير به تفكيك شده‌اند و تبرّك جستن و استشفاى به آثار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را روا مى‌شمارند امّا پس از آن حضرت و در زمان ما را روا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تفكيكى به هيچ روى منطقى و قابل قبول به نظر نمى‌رسد؛ زيرا بدون ترديد آثار منتسب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حضرت انتساب خود را از دست نمى‌دهند و به خاطر همين انتساب بر بركات معنوى خويش باقى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از نظر تاريخى ترديدى نيست كه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حضرت به آثار بر جا مانده و قبر مطهّر آن حضرت تبرّك مى‌جستند و استشفا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بخارى در صحيح خود</w:t>
      </w:r>
    </w:p>
    <w:p>
      <w:pPr>
        <w:pStyle w:val="BookText"/>
        <w:rPr/>
      </w:pPr>
      <w:r>
        <w:rPr>
          <w:rFonts w:ascii="IRNazanin" w:hAnsi="IRNazanin" w:eastAsia="IRNazanin"/>
          <w:color w:val="111111"/>
          <w:sz w:val="28"/>
          <w:sz w:val="28"/>
          <w:szCs w:val="28"/>
          <w:rtl w:val="true"/>
          <w:lang w:bidi="fa-IR"/>
        </w:rPr>
        <w:t>بابى را به ذكر اين موضوع اختصاص داده و به تبرّك جستن صحابه و ديگران به آثار بازمانده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حضرت تصريح كرده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عنوان نمونه، كاسه‌اى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نوشيده بود پس از آن حضرت مورد تبرّك و استشفا قرار مى‌گرفت، </w:t>
      </w:r>
      <w:r>
        <w:rPr>
          <w:rStyle w:val="FootnoteAnchor"/>
          <w:rtl w:val="true"/>
        </w:rPr>
        <w:footnoteReference w:id="36"/>
      </w:r>
      <w:r>
        <w:rPr>
          <w:rFonts w:ascii="IRNazanin" w:hAnsi="IRNazanin" w:eastAsia="IRNazanin"/>
          <w:color w:val="111111"/>
          <w:sz w:val="28"/>
          <w:sz w:val="28"/>
          <w:szCs w:val="28"/>
          <w:rtl w:val="true"/>
          <w:lang w:bidi="fa-IR"/>
        </w:rPr>
        <w:t>و كفش‌ها و جامه آن حضرت به اين منظور نگاه داشته مى‌شد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همچنين، روايت شده است كه روزى مروان بن حكم مردى را يافت كه روى خود بر قبر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 از قبر برداشت و معلوم شد كه ابو ايوب انصارى از صحابه برجسته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نه به نزد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دين هنگامى كه اهلش عهده‌دار آن شده‌اند گريه نكنيد، هنگامى بر دين بگرييد كه غير اهلش كار آن را بر عهده گرفته‌اند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به دست مى‌آيد كه ديدگاه مروان بن</w:t>
      </w:r>
      <w:bookmarkStart w:id="36" w:name="pg676_2696"/>
    </w:p>
    <w:p>
      <w:pPr>
        <w:pStyle w:val="BookText"/>
        <w:rPr/>
      </w:pPr>
      <w:bookmarkEnd w:id="36"/>
      <w:r>
        <w:rPr>
          <w:rFonts w:ascii="IRNazanin" w:hAnsi="IRNazanin" w:eastAsia="IRNazanin"/>
          <w:color w:val="111111"/>
          <w:sz w:val="28"/>
          <w:sz w:val="28"/>
          <w:szCs w:val="28"/>
          <w:rtl w:val="true"/>
          <w:lang w:bidi="fa-IR"/>
        </w:rPr>
        <w:t>حكم اموى مانند ديدگاه وهابيان بوده، يا به تعبير دقيق‌تر، ديدگاه وهابيان مانند ديدگاه مروان بن حكم اموى و هم‌فكران منافق اوست كه مى‌خواستند نام و ياد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آثار و نشانه‌هاى آن حضرت به كلّى فراموش شود</w:t>
      </w:r>
      <w:r>
        <w:rPr>
          <w:rFonts w:eastAsia="IRNazanin" w:cs="IRNazanin"/>
          <w:color w:val="111111"/>
          <w:sz w:val="28"/>
          <w:szCs w:val="28"/>
          <w:rtl w:val="true"/>
          <w:lang w:bidi="fa-IR"/>
        </w:rPr>
        <w:t>.</w:t>
      </w:r>
    </w:p>
    <w:p>
      <w:pPr>
        <w:pStyle w:val="Heading4"/>
        <w:numPr>
          <w:ilvl w:val="3"/>
          <w:numId w:val="1"/>
        </w:numPr>
        <w:rPr/>
      </w:pPr>
      <w:bookmarkStart w:id="37" w:name="__RefHeading___Toc5751612_211673320"/>
      <w:bookmarkStart w:id="38" w:name="_Toc14"/>
      <w:bookmarkEnd w:id="37"/>
      <w:r>
        <w:rPr/>
        <w:t>3</w:t>
      </w:r>
      <w:r>
        <w:rPr>
          <w:rtl w:val="true"/>
        </w:rPr>
        <w:t xml:space="preserve">. </w:t>
      </w:r>
      <w:r>
        <w:rPr>
          <w:rtl w:val="true"/>
        </w:rPr>
        <w:t xml:space="preserve">روا ندانستن زيارت قبور پيامبر </w:t>
      </w:r>
      <w:r>
        <w:rPr>
          <w:rtl w:val="true"/>
        </w:rPr>
        <w:t>(</w:t>
      </w:r>
      <w:r>
        <w:rPr>
          <w:rtl w:val="true"/>
        </w:rPr>
        <w:t>ص</w:t>
      </w:r>
      <w:r>
        <w:rPr>
          <w:rtl w:val="true"/>
        </w:rPr>
        <w:t xml:space="preserve">) </w:t>
      </w:r>
      <w:r>
        <w:rPr>
          <w:rtl w:val="true"/>
        </w:rPr>
        <w:t xml:space="preserve">و اهل بيت </w:t>
      </w:r>
      <w:r>
        <w:rPr>
          <w:rtl w:val="true"/>
        </w:rPr>
        <w:t>(</w:t>
      </w:r>
      <w:r>
        <w:rPr>
          <w:rtl w:val="true"/>
        </w:rPr>
        <w:t>عليهم السلام</w:t>
      </w:r>
      <w:r>
        <w:rPr>
          <w:rtl w:val="true"/>
        </w:rPr>
        <w:t>)</w:t>
      </w:r>
      <w:bookmarkEnd w:id="38"/>
    </w:p>
    <w:p>
      <w:pPr>
        <w:pStyle w:val="BookText"/>
        <w:rPr/>
      </w:pPr>
      <w:r>
        <w:rPr>
          <w:rFonts w:ascii="IRNazanin" w:hAnsi="IRNazanin" w:eastAsia="IRNazanin"/>
          <w:color w:val="111111"/>
          <w:sz w:val="28"/>
          <w:sz w:val="28"/>
          <w:szCs w:val="28"/>
          <w:rtl w:val="true"/>
          <w:lang w:bidi="fa-IR"/>
        </w:rPr>
        <w:t>يكى ديگر از ديدگاه‌هاى عجيب وهابيان روا ندانستن زيارت حرم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بنيان‌گذار اين ديدگاه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زيارت قبر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آن مى‌انگاشت و بر آن بود كه اين كار مانند كار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عجيبى كه سخت مورد مخالفت علماى اسلام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به پيروى از ابن تيميه و مخالفت با اجماع علماى اسلام زيارت روضه نبوى را بدعتى نامشروع و بسترى براى شرك و غلو مى‌شمارند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جهالت اينان چنان به جسارت آميخته مى‌شود كه زائران بارگاه ملكوتى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زائران سنگ و آهن مى‌پندارند و زائران شيفته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بى هيچ ترديدى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آيات قرآن كريم و احاديث نبوى و</w:t>
      </w:r>
    </w:p>
    <w:p>
      <w:pPr>
        <w:pStyle w:val="BookText"/>
        <w:rPr/>
      </w:pPr>
      <w:r>
        <w:rPr>
          <w:rFonts w:ascii="IRNazanin" w:hAnsi="IRNazanin" w:eastAsia="IRNazanin"/>
          <w:color w:val="111111"/>
          <w:sz w:val="28"/>
          <w:sz w:val="28"/>
          <w:szCs w:val="28"/>
          <w:rtl w:val="true"/>
          <w:lang w:bidi="fa-IR"/>
        </w:rPr>
        <w:t>ديدگاه قطعى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فتواى همه علماى مذاهب اسلامى مشروع بلكه مستحبّ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آمدن به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منشأ بركات معنوى فراوان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Style w:val="FootnoteAnchor"/>
          <w:rtl w:val="true"/>
        </w:rPr>
        <w:footnoteReference w:id="3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را نفرستاديم مگر براى آن‌كه به اذن خدا اطاعت شود، و اگر آن‌ها هنگامى كه به خود ستم مى‌كنند نزد تو بيايند و از خداوند طلب آمرزش نمايند و پيامبر برايشان طلب آمرزش نمايد همانا خداوند را توبه‌پذير و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ارتباط معنوى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امّت‌اش پس از مرگ منقطع نمى‌شود و حضور معنوى آن حضرت در همه زمان‌ها امرى قطعى و قابل احساس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و گواه اين امّت لقب مى‌دهد و مى‌فرمايد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4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خواهد بود هنگامى كه از هر امّتى گواهى بياوريم و از اين امّت تو را به عنوان گواه بر آنان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لازمه گواه بودن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آگاهى آن حضرت از احوال و اعمال امّت است، زيرا بدون اين آگاهى گواه بودن آن حضرت معقول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ديگرى نيز وجود دارد كه براى اثبات حضور معنوى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آگاهى آن حضرت در زندگى و مرگ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آيات، روايات فراوانى در منابع روايى شيعه و اهل سنّت به چشم مى‌خورد كه بر اهمّيت و استحباب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نمونه، در منابع روايى شيعه از آن حضرت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حَيَّاً وَ مَيِّتَاً كِنْتُ لَهُ شَفيعَاً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در زندگى و پس از مرگ زيارت كند در روز قيامت شفيع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منابع روايى شيعه، از آن حضرت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من يا يكى از فرزندان مرا زيارت كند در روز قيامت او را زيارت خواهم كرد و از ترس‌هاى آن رهايى خواهم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منابع روايى اهل سنّت نيز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 من و منبرم بوستانى از بوستان‌هاى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منابع روايى اهل سنّت، از آن حضرت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بَعْدَ مَوْتي كانَ كَمَنْ زارَني في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قبر مرا پس از مرگم زيارت كند مانند كسى است كه مرا در حال حياتم زيارت كرده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رواياتى از طريق اهل سنّت تأكيد شده است كه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آن حضرت را زيارت مى‌كرده‌اند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استاد جعفر سبحانى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 فى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فراوان اهل سنّت در اين باره اشاره كرده، و درباره سند و دلالت آن‌ها به تفصيل سخن گفته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از ديگر دلايل روا بودن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تعبير برخى علماى اهل سنّت، بسيارى از علما و فقهاى برجسته مسلمان به</w:t>
      </w:r>
    </w:p>
    <w:p>
      <w:pPr>
        <w:pStyle w:val="BookText"/>
        <w:rPr/>
      </w:pPr>
      <w:r>
        <w:rPr>
          <w:rFonts w:ascii="IRNazanin" w:hAnsi="IRNazanin" w:eastAsia="IRNazanin"/>
          <w:color w:val="111111"/>
          <w:sz w:val="28"/>
          <w:sz w:val="28"/>
          <w:szCs w:val="28"/>
          <w:rtl w:val="true"/>
          <w:lang w:bidi="fa-IR"/>
        </w:rPr>
        <w:t>اتّفاق نظر مسلمين بر روا بودن زيارت روضه نبوى تصريح، و تأكيد كرده‌اند كه اختلاف نظر آنان تنها در وجوب يا استحباب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آيا زيارت قبر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اصل روا بودن آن اختلاف نمايد بر خلاف اجماع مسلمين سخن گفته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وهابيان در برابر اين دلايل روشن چنين استدلال مى‌كنند كه حتّى اگر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شرك نباشد، ممكن است به ويژه در برخى عوام به شرك و غلوّ در جايگاه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باب سدّ ذريعه گناه و پيش‌گيرى از چنين عواقبى بايد از زيارت قبر آن حضرت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ناگفته پيداست كه چنين منطق و استدلالى بسيار سست و غير قابل قبول است، زيرا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عواقب منفى مورد ادّعا مسلّم نيست و نمى‌توان ميان زيارت قبر مطهّر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غلوّ در آن حضرت ملازمه‌اى بر 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بتوان از زاويه ديگرى نگريست و گفت كه زيارت قبر آن حضرت ممكن است به زنده ماندن تعاليم و يادآورى سنّت آن حضرت كمك، و ارتباط معنوى امّت با تاريخ اسلامى خود را تحكيم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باب فتح ذريعه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زمينه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مصلحت امّت بايد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w:t>
      </w:r>
      <w:bookmarkStart w:id="39" w:name="pg676_2701"/>
    </w:p>
    <w:p>
      <w:pPr>
        <w:pStyle w:val="BookText"/>
        <w:rPr/>
      </w:pPr>
      <w:bookmarkEnd w:id="39"/>
      <w:r>
        <w:rPr>
          <w:rFonts w:ascii="Amiri" w:hAnsi="Amiri" w:eastAsia="Amiri" w:cs="Amiri"/>
          <w:color w:val="111111"/>
          <w:sz w:val="28"/>
          <w:sz w:val="28"/>
          <w:szCs w:val="28"/>
          <w:rtl w:val="true"/>
          <w:lang w:bidi="ar-SA"/>
        </w:rPr>
        <w:t>بلكه بسيار نيكو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به فرض پذيرش احتمال زياده‌روى و انحراف بايد گفت كه احتمال كذايى به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نيست و همواره در رابطه با بسيارى از اعمال دينى و شعائر مذهبى مى‌تواند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چنين احتمالاتى مبناى حكم شرعى قرار گيرد بسيارى از اعمال دينى و شعائر مذهبى تعطيل خواهد شد</w:t>
      </w:r>
      <w:r>
        <w:rPr>
          <w:rFonts w:eastAsia="IRNazanin" w:cs="IRNazanin"/>
          <w:color w:val="111111"/>
          <w:sz w:val="28"/>
          <w:szCs w:val="28"/>
          <w:rtl w:val="true"/>
          <w:lang w:bidi="fa-IR"/>
        </w:rPr>
        <w:t>!</w:t>
      </w:r>
    </w:p>
    <w:p>
      <w:pPr>
        <w:pStyle w:val="Heading4"/>
        <w:numPr>
          <w:ilvl w:val="3"/>
          <w:numId w:val="1"/>
        </w:numPr>
        <w:rPr/>
      </w:pPr>
      <w:bookmarkStart w:id="40" w:name="__RefHeading___Toc5751614_211673320"/>
      <w:bookmarkStart w:id="41" w:name="_Toc15"/>
      <w:bookmarkEnd w:id="40"/>
      <w:r>
        <w:rPr/>
        <w:t>4</w:t>
      </w:r>
      <w:r>
        <w:rPr>
          <w:rtl w:val="true"/>
        </w:rPr>
        <w:t xml:space="preserve">. </w:t>
      </w:r>
      <w:r>
        <w:rPr>
          <w:rtl w:val="true"/>
        </w:rPr>
        <w:t xml:space="preserve">روا ندانستن شفاعت‌خواهى، توسّل و استغاثه به پيامبر </w:t>
      </w:r>
      <w:r>
        <w:rPr>
          <w:rtl w:val="true"/>
        </w:rPr>
        <w:t>(</w:t>
      </w:r>
      <w:r>
        <w:rPr>
          <w:rtl w:val="true"/>
        </w:rPr>
        <w:t>ص</w:t>
      </w:r>
      <w:r>
        <w:rPr>
          <w:rtl w:val="true"/>
        </w:rPr>
        <w:t xml:space="preserve">) </w:t>
      </w:r>
      <w:r>
        <w:rPr>
          <w:rtl w:val="true"/>
        </w:rPr>
        <w:t xml:space="preserve">و اهل بيت </w:t>
      </w:r>
      <w:r>
        <w:rPr>
          <w:rtl w:val="true"/>
        </w:rPr>
        <w:t>(</w:t>
      </w:r>
      <w:r>
        <w:rPr>
          <w:rtl w:val="true"/>
        </w:rPr>
        <w:t>عليهم السلام</w:t>
      </w:r>
      <w:r>
        <w:rPr>
          <w:rtl w:val="true"/>
        </w:rPr>
        <w:t>)</w:t>
      </w:r>
      <w:bookmarkEnd w:id="41"/>
    </w:p>
    <w:p>
      <w:pPr>
        <w:pStyle w:val="BookText"/>
        <w:rPr/>
      </w:pPr>
      <w:r>
        <w:rPr>
          <w:rFonts w:ascii="IRNazanin" w:hAnsi="IRNazanin" w:eastAsia="IRNazanin"/>
          <w:color w:val="111111"/>
          <w:sz w:val="28"/>
          <w:sz w:val="28"/>
          <w:szCs w:val="28"/>
          <w:rtl w:val="true"/>
          <w:lang w:bidi="fa-IR"/>
        </w:rPr>
        <w:t>يكى ديگر از ديدگاه‌هاى نادرست وهابيان كه انتقاد علماى شيعه و اهل سنّت را برانگيخته است، روا ندانستن شفاعت‌خواهى، توسّل و استغاثه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شفاعت‌خواهى، توسّل و استغاثه در اصطلاح معانى نزديكى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شفاعت‌خواهى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وساطت و دعاى آن حضرت جهت آمرزش گناهان، و توسّل به اولياى خدا به معناى وسيله قرار دادن آنان براى تقرّب به درگاه خداوند، و استغاثه از آنان به معناى مدد گرفتن از ارواح طيبه آنان است كه بنا بر آيات قرآنى و احاديث نبوى و روايات فراوان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ضمن آيه‌اى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آن‌ها هنگامى كه به خود ستم مى‌كنند نزد تو بيايند و از خداوند طلب آمرزش نمايند و پيامبر برايشان طلب آمرزش نمايد همانا خداوند را توبه‌پذير و مهربان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طبق اين آيه آمدن به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وساطت و استغفار آن حضرت، و وسيله قرار دادن وى و يارى گرفتن از آن بزرگوار براى آمرزش گناهان روا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قرآن كريم فرستادن آن حضرت را رحمتى براى جهانيان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48"/>
      </w:r>
      <w:r>
        <w:rPr>
          <w:rFonts w:ascii="IRNazanin" w:hAnsi="IRNazanin" w:eastAsia="IRNazanin"/>
          <w:color w:val="111111"/>
          <w:sz w:val="28"/>
          <w:sz w:val="28"/>
          <w:szCs w:val="28"/>
          <w:rtl w:val="true"/>
          <w:lang w:bidi="fa-IR"/>
        </w:rPr>
        <w:t>و وجود آن بزرگوار را منشأ بركات فراوان و ايمنى از عذاب الهى ياد مى‌كند و مى‌فرمايد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Style w:val="FootnoteAnchor"/>
          <w:rtl w:val="true"/>
        </w:rPr>
        <w:footnoteReference w:id="4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آنان را در حالى كه تو در ميانشان هستى عذاب نمى‌كند و همچنين هرگز عذاب‌كننده آنان نيست مادامى كه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قرآن كريم بر امكان، وقوع و مشروعيت خصوص شفاعت پس از اذن الهى تأكيد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شَفِيعٍ إِلَّا مِنْ بَعْدِ إِذْنِهِ؛ </w:t>
      </w:r>
      <w:r>
        <w:rPr>
          <w:rStyle w:val="FootnoteAnchor"/>
          <w:rtl w:val="true"/>
        </w:rPr>
        <w:footnoteReference w:id="5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شفيعى وجود ندارد مگر پس از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يَمْلِكُونَ الشَّفاعَةَ إِلَّا مَنِ اتَّخَذَ عِنْدَ الرَّحْمنِ عَهْداً؛ </w:t>
      </w:r>
      <w:r>
        <w:rPr>
          <w:rStyle w:val="FootnoteAnchor"/>
          <w:rtl w:val="true"/>
        </w:rPr>
        <w:footnoteReference w:id="5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شفاعت نيست مگر كسى كه نزد خداوند عهدى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فرشتگان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أَيْدِيهِمْ وَ ما خَلْفَهُمْ وَ لا يَشْفَعُونَ إِلَّا لِمَنِ ارْتَضي وَ هُمْ مِنْ خَشْيَتِهِ مُشْفِقُونَ؛ </w:t>
      </w:r>
      <w:r>
        <w:rPr>
          <w:rStyle w:val="FootnoteAnchor"/>
          <w:rtl w:val="true"/>
        </w:rPr>
        <w:footnoteReference w:id="5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پيش روى و پشت سرشان است آگاهى دارد و آنان شفاعت نمى‌كنند مگر براى كسى كه مورد رضايت باشد و آنان از بيم خداوند هراسانند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چه بى‌انصاف و گستاخند كسانى كه طلب شفاعت از 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و استغاثه به آن حبيب خدا را بيهوده مى‌دانند و ناروا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آيات، احاديث فراوانى در تأييد شفاعت‌خواهى، توسّل و استغاثه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اولياى خدا وارد شده است كه بر شگفتى</w:t>
      </w:r>
    </w:p>
    <w:p>
      <w:pPr>
        <w:pStyle w:val="BookText"/>
        <w:rPr/>
      </w:pPr>
      <w:r>
        <w:rPr>
          <w:rFonts w:ascii="IRNazanin" w:hAnsi="IRNazanin" w:eastAsia="IRNazanin"/>
          <w:color w:val="111111"/>
          <w:sz w:val="28"/>
          <w:sz w:val="28"/>
          <w:szCs w:val="28"/>
          <w:rtl w:val="true"/>
          <w:lang w:bidi="fa-IR"/>
        </w:rPr>
        <w:t>ديدگاه بى‌پايه وهابيان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منابع روايى اهل سنّت از صحابى برجسته عثمان بن حنيف 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نابينا به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كه مرا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برايت دعا مى‌كنم و اگر بخواهى اين كار را به تأخير مى‌اندازم كه برايت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 تقاضاى خويش را تكرار كرد، 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فرمود كه به نيكى وضو بگيرد و دو ركعت نماز بگزارد و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وَ أَتَوَجَّهُ إِلَيْكَ بِنَبِيِّكَ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الرَّحْمَة، يا مُحَمَّد إِنّي تَوَجَّهْتُ بِكَ إِلى رَبّي في حاجَتي هذه فَتُقضى لي اللّهُمَّ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مسألت مى‌نمايم و به وسيله پيامبرت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رحمت است به سوى تو توجّه مى‌كنم،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تو به سوى پروردگارم در مورد اين حاجت‌ام توجّه كردم تا برايم برآورده سازى؛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شفيع من كن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شريف كه بسيارى از اهل سنّت بر صحّت و اعتبار روايى آن تأكيد كرده‌اند، </w:t>
      </w:r>
      <w:r>
        <w:rPr>
          <w:rStyle w:val="FootnoteAnchor"/>
          <w:rtl w:val="true"/>
        </w:rPr>
        <w:footnoteReference w:id="53"/>
      </w:r>
      <w:r>
        <w:rPr>
          <w:rFonts w:ascii="IRNazanin" w:hAnsi="IRNazanin" w:eastAsia="IRNazanin"/>
          <w:color w:val="111111"/>
          <w:sz w:val="28"/>
          <w:sz w:val="28"/>
          <w:szCs w:val="28"/>
          <w:rtl w:val="true"/>
          <w:lang w:bidi="fa-IR"/>
        </w:rPr>
        <w:t>در منابعى</w:t>
      </w:r>
    </w:p>
    <w:p>
      <w:pPr>
        <w:pStyle w:val="BookText"/>
        <w:rPr/>
      </w:pPr>
      <w:r>
        <w:rPr>
          <w:rFonts w:ascii="IRNazanin" w:hAnsi="IRNazanin" w:eastAsia="IRNazanin"/>
          <w:color w:val="111111"/>
          <w:sz w:val="28"/>
          <w:sz w:val="28"/>
          <w:szCs w:val="28"/>
          <w:rtl w:val="true"/>
          <w:lang w:bidi="fa-IR"/>
        </w:rPr>
        <w:t xml:space="preserve">چون مسند احمد بن حنبل، </w:t>
      </w:r>
      <w:r>
        <w:rPr>
          <w:rStyle w:val="FootnoteAnchor"/>
          <w:rtl w:val="true"/>
        </w:rPr>
        <w:footnoteReference w:id="54"/>
      </w:r>
      <w:r>
        <w:rPr>
          <w:rFonts w:ascii="Amiri" w:hAnsi="Amiri" w:eastAsia="Amiri" w:cs="Amiri"/>
          <w:color w:val="111111"/>
          <w:sz w:val="28"/>
          <w:sz w:val="28"/>
          <w:szCs w:val="28"/>
          <w:rtl w:val="true"/>
          <w:lang w:bidi="ar-SA"/>
        </w:rPr>
        <w:t>منتخب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سنن ترمذى، </w:t>
      </w:r>
      <w:r>
        <w:rPr>
          <w:rStyle w:val="FootnoteAnchor"/>
          <w:rtl w:val="true"/>
        </w:rPr>
        <w:footnoteReference w:id="56"/>
      </w:r>
      <w:r>
        <w:rPr>
          <w:rFonts w:ascii="IRNazanin" w:hAnsi="IRNazanin" w:eastAsia="IRNazanin"/>
          <w:color w:val="111111"/>
          <w:sz w:val="28"/>
          <w:sz w:val="28"/>
          <w:szCs w:val="28"/>
          <w:rtl w:val="true"/>
          <w:lang w:bidi="fa-IR"/>
        </w:rPr>
        <w:t xml:space="preserve">سنن ابن ماجه، </w:t>
      </w:r>
      <w:r>
        <w:rPr>
          <w:rStyle w:val="FootnoteAnchor"/>
          <w:rtl w:val="true"/>
        </w:rPr>
        <w:footnoteReference w:id="57"/>
      </w:r>
      <w:r>
        <w:rPr>
          <w:rFonts w:ascii="IRNazanin" w:hAnsi="IRNazanin" w:eastAsia="IRNazanin"/>
          <w:color w:val="111111"/>
          <w:sz w:val="28"/>
          <w:sz w:val="28"/>
          <w:szCs w:val="28"/>
          <w:rtl w:val="true"/>
          <w:lang w:bidi="fa-IR"/>
        </w:rPr>
        <w:t xml:space="preserve">سنن نسائى، </w:t>
      </w:r>
      <w:r>
        <w:rPr>
          <w:rStyle w:val="FootnoteAnchor"/>
          <w:rtl w:val="true"/>
        </w:rPr>
        <w:footnoteReference w:id="58"/>
      </w:r>
      <w:r>
        <w:rPr>
          <w:rFonts w:ascii="Amiri" w:hAnsi="Amiri" w:eastAsia="Amiri" w:cs="Amiri"/>
          <w:color w:val="111111"/>
          <w:sz w:val="28"/>
          <w:sz w:val="28"/>
          <w:szCs w:val="28"/>
          <w:rtl w:val="true"/>
          <w:lang w:bidi="ar-SA"/>
        </w:rPr>
        <w:t>صحيح ابن خزيمه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مستدرك حاكم، </w:t>
      </w:r>
      <w:r>
        <w:rPr>
          <w:rStyle w:val="FootnoteAnchor"/>
          <w:rtl w:val="true"/>
        </w:rPr>
        <w:footnoteReference w:id="60"/>
      </w:r>
      <w:r>
        <w:rPr>
          <w:rFonts w:ascii="IRNazanin" w:hAnsi="IRNazanin" w:eastAsia="IRNazanin"/>
          <w:color w:val="111111"/>
          <w:sz w:val="28"/>
          <w:sz w:val="28"/>
          <w:szCs w:val="28"/>
          <w:rtl w:val="true"/>
          <w:lang w:bidi="fa-IR"/>
        </w:rPr>
        <w:t>و منابع فراوان ديگر به چشم مى‌خورد و به روشنى طلب شفاعت، توسّل و استغاثه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تأييد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منابع روايى اهل سنّت روايات فراوانى گرد آمده است كه از طلب شفاعت، توسّل و استغاثه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صحابه براى برآورده شدن حوائج خود آن حضرت را واسطه مى‌ساختند و به دعاى آن بزرگوار دل مى‌بستند</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در منابع روايى شيعه نيز در اين باره احاديث فراوانى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في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امّت‌اش شفاعتى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صحيفه سجاديه كه از اصيل‌ترين منابع شيعى و كتب اسلامى است بارها شفاعت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طلب و درخواست قرار گرفته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روشن است كه بر خلاف پندار وهابيان، امكان شفاعت به عنوان لطفى الهى هرگز بسترى براى گناه و مشوّقى براى نافرمانى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چنان‌چه از آيات قرآنى به دست آمد، اين لطف اميد بخش موقوف به اذن خداوند و تنها شامل حال كسانى است كه اجمالًا مورد رضايت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ضمن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پروردگارم به نزد من آمد و مرا ميان ورود نيمى از امّتم به بهشت و شفاعت مخير نمود، پس من شفاعت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صحابه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كه ما را در شفاعت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هر كه بميرد در حالى كه چيزى را شريك خدا قرار نداده است در شفاعت من هستيد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 كه در ضمن حديثى فرمود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ما با گناهان شما از</w:t>
      </w:r>
    </w:p>
    <w:p>
      <w:pPr>
        <w:pStyle w:val="BookText"/>
        <w:rPr/>
      </w:pPr>
      <w:r>
        <w:rPr>
          <w:rFonts w:ascii="IRNazanin" w:hAnsi="IRNazanin" w:eastAsia="IRNazanin"/>
          <w:color w:val="111111"/>
          <w:sz w:val="28"/>
          <w:sz w:val="28"/>
          <w:szCs w:val="28"/>
          <w:rtl w:val="true"/>
          <w:lang w:bidi="fa-IR"/>
        </w:rPr>
        <w:t>بين مى‌رود، بنابراين، اى گروه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اتّكاى به شفاعت ما گناه نكنيد، زيرا به خدا سوگند كسى كه گناهى كبيره انجام دهد مشمول شفاعت ما نمى‌شود تا آن‌گاه كه درد عذاب را بكشد و ترس دوزخ را ببيند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نيز از همان حضرت روايت شده است كه در واپسين لحظات عمر شريف خويش خطاب به خويشان و شيعيان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شفاعت ما به كسى كه نسبت به نماز خود كم‌توجّه باشد نمى‌رسد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بسيارى از وهابيان روا بودن شفاعت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را باور دارند، امّا خواستن آن در دنيا را روا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امكان شفاعت آن حضرت در روز قيامت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قطع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آن در دنيا امرى طبيعى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چه بسا بتوان نخواستن چنين فضل الهى و مهر نبوى را كارى ناروا و نشان از غفلت و قساوت قلب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افزون بر اين بر روا بودن طلب شفاعت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دلالت دارد رواياتى است كه از طلب شفاعت صحابه از آن حضرت حكايت دارد؛ كارى كه به طور قطع در دنيا</w:t>
      </w:r>
      <w:bookmarkStart w:id="42" w:name="pg676_2708"/>
    </w:p>
    <w:p>
      <w:pPr>
        <w:pStyle w:val="BookText"/>
        <w:rPr/>
      </w:pPr>
      <w:bookmarkEnd w:id="42"/>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43" w:name="__RefHeading___Toc5751616_211673320"/>
      <w:bookmarkStart w:id="44" w:name="_Toc16"/>
      <w:bookmarkEnd w:id="43"/>
      <w:r>
        <w:rPr/>
        <w:t>5</w:t>
      </w:r>
      <w:r>
        <w:rPr>
          <w:rtl w:val="true"/>
        </w:rPr>
        <w:t xml:space="preserve">. </w:t>
      </w:r>
      <w:r>
        <w:rPr>
          <w:rtl w:val="true"/>
        </w:rPr>
        <w:t>شرك پنداشتن سوگند به غير خدا</w:t>
      </w:r>
      <w:bookmarkEnd w:id="44"/>
    </w:p>
    <w:p>
      <w:pPr>
        <w:pStyle w:val="BookText"/>
        <w:rPr/>
      </w:pPr>
      <w:r>
        <w:rPr>
          <w:rFonts w:ascii="IRNazanin" w:hAnsi="IRNazanin" w:eastAsia="IRNazanin"/>
          <w:color w:val="111111"/>
          <w:sz w:val="28"/>
          <w:sz w:val="28"/>
          <w:szCs w:val="28"/>
          <w:rtl w:val="true"/>
          <w:lang w:bidi="fa-IR"/>
        </w:rPr>
        <w:t>وهابيان هر گونه سوگند خوردن به غير خدا را شرك مى‌دانند و سوگند خورنده آن را مشرك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پيش از هر چيز بايد دانست كه سوگند خوردن هر چند صادقانه باشد چندان زيبا و زيبنده انسان مؤمن و پرهيزكار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اگر غير صادقانه باشد گناهى است بسيار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بايد دانست كه سوگند خوردن به نام غير خدا كارى ناشايست و نكوهيده است، و اگر كسى اراده سوگند دارد بهتر است به نام خداوند يكتا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احتمالًا سوگند ياد كردن به يك چيز به معناى بسيار بزرگ داشتن آن چيز است، و چنين معنايى جز در رابطه با پروردگار بزرگ صادق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احاديثى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رسيده است كه مى‌توان به برخى از آن‌ها اشاره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در منابع روايى شيعه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خداوند سوگند ياد نكنيد، و هر كه به خداوند سوگند ياد مى‌كند بايد راست گويد، و هر كه براى او به خداوند سوگند ياد مى‌شود بايد راضى گردد، و هر كه راضى نگردد از خداوند بيگانه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منابع روايى اهل سنّت نيز وارد شده است كه آن حضرت با سوگند خوردن به غير خدا به سختى برخورد فرمود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اين حال، به نظر مى‌رسد كه وهابيان در رابطه با اين مسأله از حدّ منطق و اعتدال خارج شده‌اند و به افراط و زياده‌گويى دچار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سوگند ياد كردن هرگاه به چيزى غير خدا باشد به معناى خدا پنداشتن آن نمى‌باشد و به سختى مى‌توان از آن با عنوان شرك به معناى حقيقى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سوگند به غير خدا توسّط خود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اهل بيت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اگر سوگند خوردن به يك چيز ضرورتاً به معناى شريك قرار دادن آن براى خداوند بود خداوند يكتا خود به غير خويش سوگند ياد نمى‌كرد، در حالى كه قرآن كريم پر از سوگندهاى الهى به پديده‌هاى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مسأله نمى‌تواند دليلى براى نيكو بودن سوگند بندگان به غير خداوند تلقّى شود، امّا به طور قطع مى‌تواند دليلى بر عدم دلالت چنين سوگندى بر اعتقاد شرك‌آميز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به جان پدرش سوگند</w:t>
      </w:r>
    </w:p>
    <w:p>
      <w:pPr>
        <w:pStyle w:val="BookText"/>
        <w:rPr/>
      </w:pPr>
      <w:r>
        <w:rPr>
          <w:rFonts w:ascii="Amiri" w:hAnsi="Amiri" w:eastAsia="Amiri" w:cs="Amiri"/>
          <w:color w:val="111111"/>
          <w:sz w:val="28"/>
          <w:sz w:val="28"/>
          <w:szCs w:val="28"/>
          <w:rtl w:val="true"/>
          <w:lang w:bidi="ar-SA"/>
        </w:rPr>
        <w:t xml:space="preserve">ياد كرده، </w:t>
      </w:r>
      <w:r>
        <w:rPr>
          <w:rStyle w:val="FootnoteAnchor"/>
          <w:rtl w:val="true"/>
        </w:rPr>
        <w:footnoteReference w:id="70"/>
      </w:r>
      <w:r>
        <w:rPr>
          <w:rFonts w:ascii="Amiri" w:hAnsi="Amiri" w:eastAsia="Amiri" w:cs="Amiri"/>
          <w:color w:val="111111"/>
          <w:sz w:val="28"/>
          <w:sz w:val="28"/>
          <w:szCs w:val="28"/>
          <w:rtl w:val="true"/>
          <w:lang w:bidi="ar-SA"/>
        </w:rPr>
        <w:t>و امير 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جان خويش، </w:t>
      </w:r>
      <w:r>
        <w:rPr>
          <w:rStyle w:val="FootnoteAnchor"/>
          <w:rtl w:val="true"/>
        </w:rPr>
        <w:footnoteReference w:id="71"/>
      </w:r>
      <w:r>
        <w:rPr>
          <w:rFonts w:ascii="IRNazanin" w:hAnsi="IRNazanin" w:eastAsia="IRNazanin"/>
          <w:color w:val="111111"/>
          <w:sz w:val="28"/>
          <w:sz w:val="28"/>
          <w:szCs w:val="28"/>
          <w:rtl w:val="true"/>
          <w:lang w:bidi="fa-IR"/>
        </w:rPr>
        <w:t>و برخى ديگر از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w:t>
      </w:r>
      <w:r>
        <w:rPr>
          <w:rStyle w:val="FootnoteAnchor"/>
          <w:rtl w:val="true"/>
        </w:rPr>
        <w:footnoteReference w:id="72"/>
      </w:r>
      <w:r>
        <w:rPr>
          <w:rFonts w:ascii="IRNazanin" w:hAnsi="IRNazanin" w:eastAsia="IRNazanin"/>
          <w:color w:val="111111"/>
          <w:sz w:val="28"/>
          <w:sz w:val="28"/>
          <w:szCs w:val="28"/>
          <w:rtl w:val="true"/>
          <w:lang w:bidi="fa-IR"/>
        </w:rPr>
        <w:t>سوگند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صحابه كسانى چون ابو بكر، </w:t>
      </w:r>
      <w:r>
        <w:rPr>
          <w:rStyle w:val="FootnoteAnchor"/>
          <w:rtl w:val="true"/>
        </w:rPr>
        <w:footnoteReference w:id="73"/>
      </w:r>
      <w:r>
        <w:rPr>
          <w:rFonts w:ascii="IRNazanin" w:hAnsi="IRNazanin" w:eastAsia="IRNazanin"/>
          <w:color w:val="111111"/>
          <w:sz w:val="28"/>
          <w:sz w:val="28"/>
          <w:szCs w:val="28"/>
          <w:rtl w:val="true"/>
          <w:lang w:bidi="fa-IR"/>
        </w:rPr>
        <w:t xml:space="preserve">عمر بن خطاب، </w:t>
      </w:r>
      <w:r>
        <w:rPr>
          <w:rStyle w:val="FootnoteAnchor"/>
          <w:rtl w:val="true"/>
        </w:rPr>
        <w:footnoteReference w:id="74"/>
      </w:r>
      <w:r>
        <w:rPr>
          <w:rFonts w:ascii="IRNazanin" w:hAnsi="IRNazanin" w:eastAsia="IRNazanin"/>
          <w:color w:val="111111"/>
          <w:sz w:val="28"/>
          <w:sz w:val="28"/>
          <w:szCs w:val="28"/>
          <w:rtl w:val="true"/>
          <w:lang w:bidi="fa-IR"/>
        </w:rPr>
        <w:t xml:space="preserve">عائشه، </w:t>
      </w:r>
      <w:r>
        <w:rPr>
          <w:rStyle w:val="FootnoteAnchor"/>
          <w:rtl w:val="true"/>
        </w:rPr>
        <w:footnoteReference w:id="75"/>
      </w:r>
      <w:r>
        <w:rPr>
          <w:rFonts w:ascii="IRNazanin" w:hAnsi="IRNazanin" w:eastAsia="IRNazanin"/>
          <w:color w:val="111111"/>
          <w:sz w:val="28"/>
          <w:sz w:val="28"/>
          <w:szCs w:val="28"/>
          <w:rtl w:val="true"/>
          <w:lang w:bidi="fa-IR"/>
        </w:rPr>
        <w:t xml:space="preserve">ابن عباس، </w:t>
      </w:r>
      <w:r>
        <w:rPr>
          <w:rStyle w:val="FootnoteAnchor"/>
          <w:rtl w:val="true"/>
        </w:rPr>
        <w:footnoteReference w:id="76"/>
      </w:r>
      <w:r>
        <w:rPr>
          <w:rFonts w:ascii="Amiri" w:hAnsi="Amiri" w:eastAsia="Amiri" w:cs="Amiri"/>
          <w:color w:val="111111"/>
          <w:sz w:val="28"/>
          <w:sz w:val="28"/>
          <w:szCs w:val="28"/>
          <w:rtl w:val="true"/>
          <w:lang w:bidi="ar-SA"/>
        </w:rPr>
        <w:t xml:space="preserve">اسماء بنت عميس، </w:t>
      </w:r>
      <w:r>
        <w:rPr>
          <w:rStyle w:val="FootnoteAnchor"/>
          <w:rtl w:val="true"/>
        </w:rPr>
        <w:footnoteReference w:id="77"/>
      </w:r>
      <w:r>
        <w:rPr>
          <w:rFonts w:ascii="Amiri" w:hAnsi="Amiri" w:eastAsia="Amiri" w:cs="Amiri"/>
          <w:color w:val="111111"/>
          <w:sz w:val="28"/>
          <w:sz w:val="28"/>
          <w:szCs w:val="28"/>
          <w:rtl w:val="true"/>
          <w:lang w:bidi="ar-SA"/>
        </w:rPr>
        <w:t xml:space="preserve">اسيد بن حضير </w:t>
      </w:r>
      <w:r>
        <w:rPr>
          <w:rStyle w:val="FootnoteAnchor"/>
          <w:rtl w:val="true"/>
        </w:rPr>
        <w:footnoteReference w:id="78"/>
      </w:r>
      <w:r>
        <w:rPr>
          <w:rFonts w:ascii="IRNazanin" w:hAnsi="IRNazanin" w:eastAsia="IRNazanin"/>
          <w:color w:val="111111"/>
          <w:sz w:val="28"/>
          <w:sz w:val="28"/>
          <w:szCs w:val="28"/>
          <w:rtl w:val="true"/>
          <w:lang w:bidi="fa-IR"/>
        </w:rPr>
        <w:t>و بسيارى ديگر به جان خويش يا جان ديگران سوگند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احاديثى نيز سوگند ياد كردن به غير خدا صريحاً يا ظاهراً روا شمرده شده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شايد بتوان گفت سوگندى كه لازم است صرفاً به نام خداوند ياد شود سوگندى است كه شكستن آن موجب كفّاره مى‌شود؛ و گر نه سوگندى كه بدون اراده جدّى بر زبان جارى مى‌گردد و براى آن شكستن يا كفّاره‌اى وجود ندارد رواست كه به غير خدا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سوگند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گونه اخير مى‌توان حمل كرد</w:t>
      </w:r>
      <w:r>
        <w:rPr>
          <w:rFonts w:eastAsia="IRNazanin" w:cs="IRNazanin"/>
          <w:color w:val="111111"/>
          <w:sz w:val="28"/>
          <w:szCs w:val="28"/>
          <w:rtl w:val="true"/>
          <w:lang w:bidi="fa-IR"/>
        </w:rPr>
        <w:t>.</w:t>
      </w:r>
      <w:bookmarkStart w:id="45" w:name="pg676_2711"/>
    </w:p>
    <w:p>
      <w:pPr>
        <w:pStyle w:val="Heading2"/>
        <w:numPr>
          <w:ilvl w:val="1"/>
          <w:numId w:val="1"/>
        </w:numPr>
        <w:rPr/>
      </w:pPr>
      <w:bookmarkStart w:id="46" w:name="__RefHeading___Toc5751618_211673320"/>
      <w:bookmarkStart w:id="47" w:name="_Toc17"/>
      <w:bookmarkEnd w:id="45"/>
      <w:bookmarkEnd w:id="46"/>
      <w:r>
        <w:rPr>
          <w:rtl w:val="true"/>
        </w:rPr>
        <w:t>تهمت‌ها و نسبت‌هاى ناروايى كه توسّط وهابيان به شيعه وارد شده كدام است؟</w:t>
      </w:r>
      <w:bookmarkEnd w:id="47"/>
    </w:p>
    <w:p>
      <w:pPr>
        <w:pStyle w:val="Heading3"/>
        <w:numPr>
          <w:ilvl w:val="2"/>
          <w:numId w:val="1"/>
        </w:numPr>
        <w:rPr/>
      </w:pPr>
      <w:bookmarkStart w:id="48" w:name="__RefHeading___Toc5751620_21167332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مذهب شيعه از آغاز تاريخ خود تاكنون همواره آماج تهمت‌هاى ناروا و نسبت‌هاى بى‌پايه اهل سنّت و حملات بى‌رحمانه سلفيان و وهابيان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اين مذهب چيزى جز پيروى از سفارش‌هاى مكرّر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عمل به وصيت آن حضرت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پاى‌بندى به پيمان غدير خم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جاى انكار نيست خدماتى كه اين مذهب به امّت و تاريخ اسلامى رسانده، هيچ مذهب ديگرى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اعتراف بسيارى از اهل سنّت، بيشتر علوم اسلامى از قرائت و تفسير و فقه و صرف و نحو و طبّ و عرفان و كلام و فلسفه توسّط دانشمندان شيعى و تربيت يافتگان مكتب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مظلوميت شيعه را بايد از عجيب‌ترين، تلخ‌ترين و تأمّل‌برانگيزترين واقعيت‌هاى تاريخ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تهمت‌هاى ناروا و نسبت‌هاى بى‌پايه‌اى كه توسّط اهل سنّت عموماً و سلفيان خصوصاً به شيعه وارد شده بيش از آن است كه در اين مختصر احصا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سفيان ثورى مدّعى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رافضه مى‌گويند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ابرهاست و ما با احدى از فرزندان او خروج نمى‌كنيم تا آن‌گاه كه منادى 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ندا دهد كه با فلانى خروج كنيد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حالى كه چنين نسبتى كذب محض است، و شيعه چنين ديدگاهى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يكى از پيشوايان چهارگانه اهل سنّت نيز در پاسخ به كسى كه درباره شيعيان مى‌پرسد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سخن نگو و از آنان روايت نكن، زيرا آنان دروغ مى‌گويند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چنين تهمت بى‌پايه و بى‌انصافى آشكارى در حالى مطرح مى‌شود كه شيعه از گفت‌وگو با اهل سنّت استقبال مى‌كند و روايت از راويان سنّى راستگو را بر خود روا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يكى ديگر از پيشوايان چهارگانه اهل‌سنّت 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را در گواهى دادن دروغگوتر از رافضه</w:t>
      </w:r>
    </w:p>
    <w:p>
      <w:pPr>
        <w:pStyle w:val="BookText"/>
        <w:rPr/>
      </w:pPr>
      <w:r>
        <w:rPr>
          <w:rFonts w:ascii="Amiri" w:hAnsi="Amiri" w:eastAsia="Amiri" w:cs="Amiri"/>
          <w:color w:val="111111"/>
          <w:sz w:val="28"/>
          <w:sz w:val="28"/>
          <w:szCs w:val="28"/>
          <w:rtl w:val="true"/>
          <w:lang w:bidi="ar-SA"/>
        </w:rPr>
        <w:t>نديدم</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همه اهل اهواء و بدعت‌ها را مى‌پذيرم مگر رافضه، زيرا آنان به سود يكديگر گواهى مى‌دهند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حالى كه چنين نسبتى به هيچ روى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گواهى دروغ در نزد شيعيان از بزرگ‌ترين گناهان به شمار مى‌رود و احاديث فراوانى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نهى از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تهمت به مذهب شيعه نسبت داده شده، صرفاً ديدگاه نادرست يكى از غاليان است كه مورد لعن و برائت مذهب شيعه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اهل سنّت ادّعا كرده‌اند در ميان مردم مشهور است كه هيچ‌گاه يك رافضى با فردى سنّى تنها نمى‌شود مگر آن‌كه انديشه قتل او را در سر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ويژگى‌هاى مشترك رافضه و يهوديان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چنين اوهام شگفت‌انگيز و سخنان گزافه‌اى نتيجه القائات شيطانى و تبليغات منفى سلفيان در ميان مردم ساده لوح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رضوى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على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شيعه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بلندى از اين</w:t>
      </w:r>
      <w:bookmarkStart w:id="50" w:name="pg676_2714"/>
    </w:p>
    <w:p>
      <w:pPr>
        <w:pStyle w:val="BookText"/>
        <w:rPr/>
      </w:pPr>
      <w:bookmarkEnd w:id="50"/>
      <w:r>
        <w:rPr>
          <w:rFonts w:ascii="IRNazanin" w:hAnsi="IRNazanin" w:eastAsia="IRNazanin"/>
          <w:color w:val="111111"/>
          <w:sz w:val="28"/>
          <w:sz w:val="28"/>
          <w:szCs w:val="28"/>
          <w:rtl w:val="true"/>
          <w:lang w:bidi="fa-IR"/>
        </w:rPr>
        <w:t>تهمت‌هاى ناروا و نسبت‌هاى بى‌پايه ارائه داده، كه بسيار تأسّف‌برانگيز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ميان همه اين گزافه‌ها و سخنان جاهلانه، دو تهمت ناروا و نسبت بى‌پايه از اهمّيت بيشترى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تحريف قرآن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وحى‌</w:t>
      </w:r>
    </w:p>
    <w:p>
      <w:pPr>
        <w:pStyle w:val="Heading3"/>
        <w:numPr>
          <w:ilvl w:val="2"/>
          <w:numId w:val="1"/>
        </w:numPr>
        <w:rPr/>
      </w:pPr>
      <w:bookmarkStart w:id="51" w:name="__RefHeading___Toc5751622_211673320"/>
      <w:bookmarkStart w:id="52" w:name="_Toc19"/>
      <w:bookmarkEnd w:id="51"/>
      <w:r>
        <w:rPr/>
        <w:t>1</w:t>
      </w:r>
      <w:r>
        <w:rPr>
          <w:rtl w:val="true"/>
        </w:rPr>
        <w:t xml:space="preserve">. </w:t>
      </w:r>
      <w:r>
        <w:rPr>
          <w:rtl w:val="true"/>
        </w:rPr>
        <w:t>مسأله تحريف قرآن‌</w:t>
      </w:r>
      <w:bookmarkEnd w:id="52"/>
    </w:p>
    <w:p>
      <w:pPr>
        <w:pStyle w:val="Heading4"/>
        <w:numPr>
          <w:ilvl w:val="3"/>
          <w:numId w:val="1"/>
        </w:numPr>
        <w:rPr/>
      </w:pPr>
      <w:bookmarkStart w:id="53" w:name="__RefHeading___Toc5751624_21167332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اصطلاح تحريف قرآن در معناى تغيير الفاظ يا معانى آن به گونه كاستن يا افزودن به كار رفته است، هر چند در نظر دانشمندان مسلمان بيشتر به كاستن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عموماً و وهابيان خصوصاً ادّعا مى‌كنند كه شيعه قرآن موجود را تحريف شده مى‌داند و باور دارد كه در الفاظ و عبارات آن كاستى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چنان‌چه گفته شد، چنين ادّعايى كذب محض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اينان از آن‌جا كه در مبانى حقيقى و ديدگاه‌هاى راستين شيعه رخنه‌اى نيافته‌اند و براى بازداشتن مردم از تعاليم اصيل و معارف عميق اين مذهب راهى پيدا نكرده‌اند و در عرصه منطق و استدلال كم آورده‌اند به چنين دعاوى بى‌پايه‌اى متوسّل شده‌اند و زبان به شايعه‌پراكنى و نسبت‌هاى</w:t>
      </w:r>
      <w:bookmarkStart w:id="55" w:name="pg676_2715"/>
    </w:p>
    <w:p>
      <w:pPr>
        <w:pStyle w:val="BookText"/>
        <w:rPr/>
      </w:pPr>
      <w:bookmarkEnd w:id="55"/>
      <w:r>
        <w:rPr>
          <w:rFonts w:ascii="IRNazanin" w:hAnsi="IRNazanin" w:eastAsia="IRNazanin"/>
          <w:color w:val="111111"/>
          <w:sz w:val="28"/>
          <w:sz w:val="28"/>
          <w:szCs w:val="28"/>
          <w:rtl w:val="true"/>
          <w:lang w:bidi="fa-IR"/>
        </w:rPr>
        <w:t>نادرست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امروز كيست كه نداند شيعه به اصالت قرآن و پاكى آن از هر گونه تحريف و تغيير اعتقاد راسخ دارد و همواره در علوم مربوط به آن مانند قرائت و تفسير پيشتاز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ميان منابع روايى شيعه و اهل سنّت رواياتى به چشم مى‌خورد كه با انديشه تحريف قرآن سازگار به نظر مى‌رسد و توسّط هر دو گروه شيعه و اهل سنّت مورد اعراض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روشن ساختن بيشتر موضوع به ذكر دلايل تحريف‌ناپذيرى قرآن مى‌پردازيم و به پاره‌اى شبهات در اين باره پاسخ مى‌دهيم</w:t>
      </w:r>
      <w:r>
        <w:rPr>
          <w:rFonts w:eastAsia="IRNazanin" w:cs="IRNazanin"/>
          <w:color w:val="111111"/>
          <w:sz w:val="28"/>
          <w:szCs w:val="28"/>
          <w:rtl w:val="true"/>
          <w:lang w:bidi="fa-IR"/>
        </w:rPr>
        <w:t>.</w:t>
      </w:r>
    </w:p>
    <w:p>
      <w:pPr>
        <w:pStyle w:val="Heading4"/>
        <w:numPr>
          <w:ilvl w:val="3"/>
          <w:numId w:val="1"/>
        </w:numPr>
        <w:rPr/>
      </w:pPr>
      <w:bookmarkStart w:id="56" w:name="__RefHeading___Toc5751626_211673320"/>
      <w:bookmarkStart w:id="57" w:name="_Toc21"/>
      <w:bookmarkEnd w:id="56"/>
      <w:r>
        <w:rPr>
          <w:rtl w:val="true"/>
        </w:rPr>
        <w:t>دلايل تحريف‌ناپذيرى قرآن‌</w:t>
      </w:r>
      <w:bookmarkEnd w:id="57"/>
    </w:p>
    <w:p>
      <w:pPr>
        <w:pStyle w:val="Heading5"/>
        <w:numPr>
          <w:ilvl w:val="4"/>
          <w:numId w:val="1"/>
        </w:numPr>
        <w:rPr/>
      </w:pPr>
      <w:bookmarkStart w:id="58" w:name="__RefHeading___Toc5751628_211673320"/>
      <w:bookmarkStart w:id="59" w:name="_Toc22"/>
      <w:bookmarkEnd w:id="58"/>
      <w:r>
        <w:rPr>
          <w:rtl w:val="true"/>
        </w:rPr>
        <w:t>الف</w:t>
      </w:r>
      <w:r>
        <w:rPr>
          <w:rtl w:val="true"/>
        </w:rPr>
        <w:t xml:space="preserve">- </w:t>
      </w:r>
      <w:r>
        <w:rPr>
          <w:rtl w:val="true"/>
        </w:rPr>
        <w:t>آيه محافظت‌</w:t>
      </w:r>
      <w:bookmarkEnd w:id="59"/>
    </w:p>
    <w:p>
      <w:pPr>
        <w:pStyle w:val="BookText"/>
        <w:rPr/>
      </w:pP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85"/>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ما خودمان قرآن را نازل كرديم و خودمان آن را حتماً محافظت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محافظت قرآن به معناى بازداشتن آن از هرگونه تغيير و تحريف و نابودى است، و با اين وصف آيه شريفه در تحريف‌ناپذيرى قرآن به عنايت و خواست الهى تأكيد و صراحت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اشكال شود كه استدلال به قرآن براى</w:t>
      </w:r>
    </w:p>
    <w:p>
      <w:pPr>
        <w:pStyle w:val="BookText"/>
        <w:rPr/>
      </w:pPr>
      <w:r>
        <w:rPr>
          <w:rFonts w:ascii="IRNazanin" w:hAnsi="IRNazanin" w:eastAsia="IRNazanin"/>
          <w:color w:val="111111"/>
          <w:sz w:val="28"/>
          <w:sz w:val="28"/>
          <w:szCs w:val="28"/>
          <w:rtl w:val="true"/>
          <w:lang w:bidi="fa-IR"/>
        </w:rPr>
        <w:t>اثبات تحريف‌ناپذيرى قرآن گونه‌اى دور است و براى اثبات آن بايد به چيزى غير از قرآن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گفته‌اند كه حجّيت قرآن كريم عموماً و آيه محافظت خصوصاً با دليلى غير از قرآن كريم يعنى تأييد اهل بيت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 و با اين وصف شبهه دور برطرف مى‌شود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 اين پاسخ چندان كامل و قابل قبول به نظر نمى‌رسد، زيرا در اين صورت آن‌چه حجّيت و تبعاً عدم تحريف قرآن را اثبات كرده تأييد اهل بيت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نه آيه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آيه محافظت پس از اثبات حجّيت آن توسّط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حاصل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آن‌كه با چنين تقريرى لازم مى‌آيد كه ثقل اكبر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و اعتبار خود را از ثقل اصغر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باشد، در حالى كه چنين لازمى تقريباً قابل قبول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پاسخ اين اشكال را با استدلال به ثبوت تاريخى و تواتر نقل آيه محافظت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آيه مذكور بنابر متون كهن اسلامى از اصالت تاريخى برخوردار است و در هر دوره به گونه متواتر و بى هيچ تفاوت و تغييرى براى ما نقل شده است، و تواتر تاريخى و روايى حجّيت و اعتبار عقلى</w:t>
      </w:r>
      <w:bookmarkStart w:id="60" w:name="pg676_2717"/>
    </w:p>
    <w:p>
      <w:pPr>
        <w:pStyle w:val="BookText"/>
        <w:rPr/>
      </w:pPr>
      <w:bookmarkEnd w:id="6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صدور آن از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آيه‌اى از قرآن محرز است و مى‌تواند دليلى براى عدم تحريف و تغيير ساير آيات قرآن قابل استدلال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تقرير، لازم نمى‌آيد كه قرآن كريم حجّيت خود را از ناحيه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باشد</w:t>
      </w:r>
      <w:r>
        <w:rPr>
          <w:rFonts w:eastAsia="IRNazanin" w:cs="IRNazanin"/>
          <w:color w:val="111111"/>
          <w:sz w:val="28"/>
          <w:szCs w:val="28"/>
          <w:rtl w:val="true"/>
          <w:lang w:bidi="fa-IR"/>
        </w:rPr>
        <w:t>.</w:t>
      </w:r>
    </w:p>
    <w:p>
      <w:pPr>
        <w:pStyle w:val="Heading5"/>
        <w:numPr>
          <w:ilvl w:val="4"/>
          <w:numId w:val="1"/>
        </w:numPr>
        <w:rPr/>
      </w:pPr>
      <w:bookmarkStart w:id="61" w:name="__RefHeading___Toc5751630_211673320"/>
      <w:bookmarkStart w:id="62" w:name="_Toc23"/>
      <w:bookmarkEnd w:id="61"/>
      <w:r>
        <w:rPr>
          <w:rtl w:val="true"/>
        </w:rPr>
        <w:t>ب</w:t>
      </w:r>
      <w:r>
        <w:rPr>
          <w:rtl w:val="true"/>
        </w:rPr>
        <w:t xml:space="preserve">- </w:t>
      </w:r>
      <w:r>
        <w:rPr>
          <w:rtl w:val="true"/>
        </w:rPr>
        <w:t>آيه نفى باطل‌</w:t>
      </w:r>
      <w:bookmarkEnd w:id="62"/>
    </w:p>
    <w:p>
      <w:pPr>
        <w:pStyle w:val="BookText"/>
        <w:rPr/>
      </w:pP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8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كتابى ارزشمند است كه هيچ باطلى از پيش رو يا پشت سرش به سراغ آن نمى‌آيد و فرو فرستاده‌اى از جانب حكيمى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وقوع هرگونه تحريف و تغيير در قرآن را نفى مى‌كند و بر مصونيت آن در برابر آميختگى به باطل پاى مى‌فشارد</w:t>
      </w:r>
      <w:r>
        <w:rPr>
          <w:rFonts w:eastAsia="IRNazanin" w:cs="IRNazanin"/>
          <w:color w:val="111111"/>
          <w:sz w:val="28"/>
          <w:szCs w:val="28"/>
          <w:rtl w:val="true"/>
          <w:lang w:bidi="fa-IR"/>
        </w:rPr>
        <w:t>.</w:t>
      </w:r>
    </w:p>
    <w:p>
      <w:pPr>
        <w:pStyle w:val="Heading5"/>
        <w:numPr>
          <w:ilvl w:val="4"/>
          <w:numId w:val="1"/>
        </w:numPr>
        <w:rPr/>
      </w:pPr>
      <w:bookmarkStart w:id="63" w:name="__RefHeading___Toc5751632_211673320"/>
      <w:bookmarkStart w:id="64" w:name="_Toc24"/>
      <w:bookmarkEnd w:id="63"/>
      <w:r>
        <w:rPr>
          <w:rtl w:val="true"/>
        </w:rPr>
        <w:t>ج</w:t>
      </w:r>
      <w:r>
        <w:rPr>
          <w:rtl w:val="true"/>
        </w:rPr>
        <w:t xml:space="preserve">- </w:t>
      </w:r>
      <w:r>
        <w:rPr>
          <w:rtl w:val="true"/>
        </w:rPr>
        <w:t>حديث متواتر ثقلين‌</w:t>
      </w:r>
      <w:bookmarkEnd w:id="64"/>
    </w:p>
    <w:p>
      <w:pPr>
        <w:pStyle w:val="BookText"/>
        <w:rPr/>
      </w:pPr>
      <w:r>
        <w:rPr>
          <w:rFonts w:ascii="IRNazanin" w:hAnsi="IRNazanin" w:eastAsia="IRNazanin"/>
          <w:color w:val="111111"/>
          <w:sz w:val="28"/>
          <w:sz w:val="28"/>
          <w:szCs w:val="28"/>
          <w:rtl w:val="true"/>
          <w:lang w:bidi="fa-IR"/>
        </w:rPr>
        <w:t>چنان‌چه پيشتر براى اثبات مسأله عصمت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حديث شريف ثقلين بر تحريف‌ناپذيرى قرآن كريم مانند عصمت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تمسّك به آن را همانند تمسّك به ثقل اصغر واجب، و مايه عدم ضلالت مردم تا روز قيامت معرّفى</w:t>
      </w:r>
      <w:bookmarkStart w:id="65" w:name="pg676_2718"/>
    </w:p>
    <w:p>
      <w:pPr>
        <w:pStyle w:val="BookText"/>
        <w:rPr/>
      </w:pPr>
      <w:bookmarkEnd w:id="65"/>
      <w:r>
        <w:rPr>
          <w:rFonts w:ascii="IRNazanin" w:hAnsi="IRNazanin" w:eastAsia="IRNazanin"/>
          <w:color w:val="111111"/>
          <w:sz w:val="28"/>
          <w:sz w:val="28"/>
          <w:szCs w:val="28"/>
          <w:rtl w:val="true"/>
          <w:lang w:bidi="fa-IR"/>
        </w:rPr>
        <w:t>مى‌كند و اين به معناى آن است كه قرآن كريم تا روز قيامت از هرگونه تحريف و تغيير مصون و همواره از هر گونه كژى و ناراستى بركنار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امكان تحريف و تغيير در آن وجود داشته باشد و پاره‌اى كژى‌ها و ناراستى‌ها در آن راه يابد ديگر تمسّك به آن نمى‌تواند واجب، و ضامن هدايت مردم تا روز قيامت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صورت تمسّك به آن خود زمينه‌ساز گمراهى و مانع هدايت مردم خواهد بود</w:t>
      </w:r>
      <w:r>
        <w:rPr>
          <w:rFonts w:eastAsia="IRNazanin" w:cs="IRNazanin"/>
          <w:color w:val="111111"/>
          <w:sz w:val="28"/>
          <w:szCs w:val="28"/>
          <w:rtl w:val="true"/>
          <w:lang w:bidi="fa-IR"/>
        </w:rPr>
        <w:t>.</w:t>
      </w:r>
    </w:p>
    <w:p>
      <w:pPr>
        <w:pStyle w:val="Heading5"/>
        <w:numPr>
          <w:ilvl w:val="4"/>
          <w:numId w:val="1"/>
        </w:numPr>
        <w:rPr/>
      </w:pPr>
      <w:bookmarkStart w:id="66" w:name="__RefHeading___Toc5751634_211673320"/>
      <w:bookmarkStart w:id="67" w:name="_Toc25"/>
      <w:bookmarkEnd w:id="66"/>
      <w:r>
        <w:rPr>
          <w:rtl w:val="true"/>
        </w:rPr>
        <w:t>د</w:t>
      </w:r>
      <w:r>
        <w:rPr>
          <w:rtl w:val="true"/>
        </w:rPr>
        <w:t xml:space="preserve">- </w:t>
      </w:r>
      <w:r>
        <w:rPr>
          <w:rtl w:val="true"/>
        </w:rPr>
        <w:t>احاديث عرض‌</w:t>
      </w:r>
      <w:bookmarkEnd w:id="67"/>
    </w:p>
    <w:p>
      <w:pPr>
        <w:pStyle w:val="BookText"/>
        <w:rPr/>
      </w:pPr>
      <w:r>
        <w:rPr>
          <w:rFonts w:ascii="IRNazanin" w:hAnsi="IRNazanin" w:eastAsia="IRNazanin"/>
          <w:color w:val="111111"/>
          <w:sz w:val="28"/>
          <w:sz w:val="28"/>
          <w:szCs w:val="28"/>
          <w:rtl w:val="true"/>
          <w:lang w:bidi="fa-IR"/>
        </w:rPr>
        <w:t>در ميان منابع روايى شيعه و اهل سنّت احاديث فراوانى به چشم مى‌خورد كه بر ضرورت عرضه احاديث به قرآن كريم و سنجش ميزان درستى و اعتبار آن‌ها با كتاب خدا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خطبه خويش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به شما رسيد كه با كتاب خدا سازگار بود من آن را گفته‌ام، و هر چه به شما رسيد كه با قرآن ناسازگار بود من آن را نگفته‌ام</w:t>
      </w:r>
      <w:r>
        <w:rPr>
          <w:rFonts w:eastAsia="IRNazanin" w:cs="IRNazanin"/>
          <w:color w:val="111111"/>
          <w:sz w:val="28"/>
          <w:szCs w:val="28"/>
          <w:rtl w:val="true"/>
          <w:lang w:bidi="fa-IR"/>
        </w:rPr>
        <w:t>».</w:t>
      </w:r>
      <w:bookmarkStart w:id="68" w:name="pg676_2719"/>
    </w:p>
    <w:p>
      <w:pPr>
        <w:pStyle w:val="BookText"/>
        <w:rPr/>
      </w:pPr>
      <w:bookmarkEnd w:id="68"/>
      <w:r>
        <w:rPr>
          <w:rFonts w:ascii="Amiri" w:hAnsi="Amiri" w:eastAsia="Amiri" w:cs="Amiri"/>
          <w:color w:val="111111"/>
          <w:sz w:val="28"/>
          <w:sz w:val="28"/>
          <w:szCs w:val="28"/>
          <w:rtl w:val="true"/>
          <w:lang w:bidi="ar-SA"/>
        </w:rPr>
        <w:t>و نيز از آن حضرت روايت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من دروغ خواهند بست همان‌گونه كه بر پيامبران پيشين دروغ بستند، پس هر حديثى از من به شما رسيد كه با كتاب خدا سازگار بود آن حديث من است، و هر چه با كتاب خدا سازگار نبود حديث من نيست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همچنين،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حديثى كه با قرآن سازگار نباشد مزخرف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عرضه احاديث به قرآن و سنجش ميزان اعتبارشان با آن تنها در صورتى معنا دارد كه قرآن از هر گونه تحريف و ناراستى بركنار باشد، و گرنه سازگارى يا ناسازگارى احاديث با آن نمى‌تواند بر درستى يا نادرستى آن‌ها دلالت روشنى داشته باشد</w:t>
      </w:r>
      <w:r>
        <w:rPr>
          <w:rFonts w:eastAsia="IRNazanin" w:cs="IRNazanin"/>
          <w:color w:val="111111"/>
          <w:sz w:val="28"/>
          <w:szCs w:val="28"/>
          <w:rtl w:val="true"/>
          <w:lang w:bidi="fa-IR"/>
        </w:rPr>
        <w:t>.</w:t>
      </w:r>
    </w:p>
    <w:p>
      <w:pPr>
        <w:pStyle w:val="Heading5"/>
        <w:numPr>
          <w:ilvl w:val="4"/>
          <w:numId w:val="1"/>
        </w:numPr>
        <w:rPr/>
      </w:pPr>
      <w:bookmarkStart w:id="69" w:name="__RefHeading___Toc5751636_211673320"/>
      <w:bookmarkStart w:id="70" w:name="_Toc26"/>
      <w:bookmarkEnd w:id="69"/>
      <w:r>
        <w:rPr>
          <w:rtl w:val="true"/>
        </w:rPr>
        <w:t>ه</w:t>
      </w:r>
      <w:r>
        <w:rPr>
          <w:rtl w:val="true"/>
        </w:rPr>
        <w:t xml:space="preserve">- </w:t>
      </w:r>
      <w:r>
        <w:rPr>
          <w:rtl w:val="true"/>
        </w:rPr>
        <w:t>اعتبار سندى و تاريخى‌</w:t>
      </w:r>
      <w:bookmarkEnd w:id="70"/>
    </w:p>
    <w:p>
      <w:pPr>
        <w:pStyle w:val="BookText"/>
        <w:rPr/>
      </w:pPr>
      <w:r>
        <w:rPr>
          <w:rFonts w:ascii="Amiri" w:hAnsi="Amiri" w:eastAsia="Amiri" w:cs="Amiri"/>
          <w:color w:val="111111"/>
          <w:sz w:val="28"/>
          <w:sz w:val="28"/>
          <w:szCs w:val="28"/>
          <w:rtl w:val="true"/>
          <w:lang w:bidi="ar-SA"/>
        </w:rPr>
        <w:t>شايد مهم‌ترين دليل عدم تحريف قرآن تواتر سندى آن در طول تاريخ اسلامى باشد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از نخستين روزهاى نزول مورد توجّه عموم مسلمانان قرار داشت و توسّط آنان تقديس، و</w:t>
      </w:r>
      <w:bookmarkStart w:id="71" w:name="pg676_2720"/>
    </w:p>
    <w:p>
      <w:pPr>
        <w:pStyle w:val="BookText"/>
        <w:rPr/>
      </w:pPr>
      <w:bookmarkEnd w:id="71"/>
      <w:r>
        <w:rPr>
          <w:rFonts w:ascii="IRNazanin" w:hAnsi="IRNazanin" w:eastAsia="IRNazanin"/>
          <w:color w:val="111111"/>
          <w:sz w:val="28"/>
          <w:sz w:val="28"/>
          <w:szCs w:val="28"/>
          <w:rtl w:val="true"/>
          <w:lang w:bidi="fa-IR"/>
        </w:rPr>
        <w:t>به سختى محافظت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تن از صحابه آن حضرت زير نظر مستقيم آن بزرگوار با آيات قرآن كريم آشنا شدند و ميان آنان اختلافى در چگونگى و چيستى مضامين آيات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آن حضرت نيز همان آيات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به شمار مى‌رفت با همان مضامين معين و محفوظ به گونه متواتر و كاملًا مكتوب توسّط صدها تن از صحابه به نسل پسين اسلامى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پسين اسلامى كه شامل هزاران تن از تابعين بودند نيز ميراث آسمانى قرآن كريم را از نسل پيشين دريافت، و به نسل بعد از خود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 قرآن كريم با تواترى بى‌نظير به نسل‌هاى آينده انتقال يافت تا به روزگار كنونى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احتمال هر گونه تحريف و تغيير مضامين آيات و كاستن يا افزودن الفاظ آن‌ها در چنين فرايند تاريخى كاملًا منتفى بوده، و با اين وصف جاى هيچ ترديدى در اصالت و خلوص قرآن كريم باقى نمانده است</w:t>
      </w:r>
      <w:r>
        <w:rPr>
          <w:rFonts w:eastAsia="IRNazanin" w:cs="IRNazanin"/>
          <w:color w:val="111111"/>
          <w:sz w:val="28"/>
          <w:szCs w:val="28"/>
          <w:rtl w:val="true"/>
          <w:lang w:bidi="fa-IR"/>
        </w:rPr>
        <w:t>.</w:t>
      </w:r>
    </w:p>
    <w:p>
      <w:pPr>
        <w:pStyle w:val="Heading5"/>
        <w:numPr>
          <w:ilvl w:val="4"/>
          <w:numId w:val="1"/>
        </w:numPr>
        <w:rPr/>
      </w:pPr>
      <w:bookmarkStart w:id="72" w:name="__RefHeading___Toc5751638_211673320"/>
      <w:bookmarkStart w:id="73" w:name="_Toc27"/>
      <w:bookmarkEnd w:id="72"/>
      <w:r>
        <w:rPr>
          <w:rtl w:val="true"/>
        </w:rPr>
        <w:t>و</w:t>
      </w:r>
      <w:r>
        <w:rPr>
          <w:rtl w:val="true"/>
        </w:rPr>
        <w:t xml:space="preserve">- </w:t>
      </w:r>
      <w:r>
        <w:rPr>
          <w:rtl w:val="true"/>
        </w:rPr>
        <w:t>اعتبار دلالى و اعجاز قرآن‌</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مهم‌ترين دليل اعتبار قرآن كه مورد غفلت بسيارى قرار گرفته، خود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آمد دليل 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آن‌كه قرآن خود معجزه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معيار شناخت حقّانيت اوست، و معجزه ذاتاً به گونه‌اى است كه خود بى‌نياز از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اگر براى اثبات اعتبار يك معجزه به معجزه ديگرى نياز باشد براى اثبات اعتبار معجزه ديگر نيز به معجزه ديگرى نياز خواهد بود و اين به معناى تسلسل است كه امكان وقوعى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متن قرآن و تك تك آيات نورانى آن از حيث بلاغت، فصاحت، معانى و معارف بلند الهى به گونه‌اى است كه بر صدور آن از جانب پروردگار سبحان و پيراستگى آن از هر گونه تحريف و دست‌اندازى بشرى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دست‌هاى آلوده بشرى بر چنين سراپرده پاك و سپيد آسمانى قرار گرفته بود، لكه سياه و تاريك آن بى‌هيچ ترديدى آشكار مى‌شد و خودنمايى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خود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9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تدبّر نمى‌كنند؟ اگر از جانب غير خداوند بود در آن اختلاف بسيار مى‌يافتند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اگر چيزى غير قرآن با قرآن</w:t>
      </w:r>
      <w:bookmarkStart w:id="74" w:name="pg676_2722"/>
    </w:p>
    <w:p>
      <w:pPr>
        <w:pStyle w:val="BookText"/>
        <w:rPr/>
      </w:pPr>
      <w:bookmarkEnd w:id="74"/>
      <w:r>
        <w:rPr>
          <w:rFonts w:ascii="IRNazanin" w:hAnsi="IRNazanin" w:eastAsia="IRNazanin"/>
          <w:color w:val="111111"/>
          <w:sz w:val="28"/>
          <w:sz w:val="28"/>
          <w:szCs w:val="28"/>
          <w:rtl w:val="true"/>
          <w:lang w:bidi="fa-IR"/>
        </w:rPr>
        <w:t>درآميخته بود با توجّه به وجود تفاوت‌هاى جدّى و برجسته ميان كلام الهى و كلام بشرى به راحتى تمييز داده مى‌شد، در حالى كه هيچ ابهام، اختلاف، ناهماهنگى و سخن نازيبايى در سرتاسر آيات آن به چشم نمى‌خورد، و هر جزء آن با تناسبى اعجازآميز در سر جاى خود قرار گرفته است؛ و اين را بايد مهم‌ترين دليل بر عدم وقوع تحريف در قرآن دانست</w:t>
      </w:r>
      <w:r>
        <w:rPr>
          <w:rFonts w:eastAsia="IRNazanin" w:cs="IRNazanin"/>
          <w:color w:val="111111"/>
          <w:sz w:val="28"/>
          <w:szCs w:val="28"/>
          <w:rtl w:val="true"/>
          <w:lang w:bidi="fa-IR"/>
        </w:rPr>
        <w:t>.</w:t>
      </w:r>
    </w:p>
    <w:p>
      <w:pPr>
        <w:pStyle w:val="Heading4"/>
        <w:numPr>
          <w:ilvl w:val="3"/>
          <w:numId w:val="1"/>
        </w:numPr>
        <w:rPr/>
      </w:pPr>
      <w:bookmarkStart w:id="75" w:name="__RefHeading___Toc5751640_211673320"/>
      <w:bookmarkStart w:id="76" w:name="_Toc28"/>
      <w:bookmarkEnd w:id="75"/>
      <w:r>
        <w:rPr>
          <w:rtl w:val="true"/>
        </w:rPr>
        <w:t>بررسى احاديث تحريف قرآن در منابع روايى شيعه و اهل سنّت‌</w:t>
      </w:r>
      <w:bookmarkEnd w:id="76"/>
    </w:p>
    <w:p>
      <w:pPr>
        <w:pStyle w:val="Heading5"/>
        <w:numPr>
          <w:ilvl w:val="4"/>
          <w:numId w:val="1"/>
        </w:numPr>
        <w:rPr/>
      </w:pPr>
      <w:bookmarkStart w:id="77" w:name="__RefHeading___Toc5751642_211673320"/>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چنان‌چه اشارت رفت، در ميان منابع روايى، احاديثى به چشم مى‌خورند كه ظاهراً بر وقوع تحريف در قرآن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 خلاف تبليغات عجيب اهل سنّت، وجود اين احاديث به منابع روايى شيعه منحصر نمى‌شود، و در منابع روايى اهل سنّت به مراتب بيش از شيعه نمود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ما در دو بخش جداگانه احاديث تحريف در منابع شيعى و اهل سنّت را بررسى مى‌كنيم</w:t>
      </w:r>
      <w:r>
        <w:rPr>
          <w:rFonts w:eastAsia="IRNazanin" w:cs="IRNazanin"/>
          <w:color w:val="111111"/>
          <w:sz w:val="28"/>
          <w:szCs w:val="28"/>
          <w:rtl w:val="true"/>
          <w:lang w:bidi="fa-IR"/>
        </w:rPr>
        <w:t>:</w:t>
      </w:r>
    </w:p>
    <w:p>
      <w:pPr>
        <w:pStyle w:val="Heading5"/>
        <w:numPr>
          <w:ilvl w:val="4"/>
          <w:numId w:val="1"/>
        </w:numPr>
        <w:rPr/>
      </w:pPr>
      <w:bookmarkStart w:id="79" w:name="__RefHeading___Toc5751644_211673320"/>
      <w:bookmarkStart w:id="80" w:name="_Toc30"/>
      <w:bookmarkEnd w:id="79"/>
      <w:r>
        <w:rPr/>
        <w:t>1</w:t>
      </w:r>
      <w:r>
        <w:rPr>
          <w:rtl w:val="true"/>
        </w:rPr>
        <w:t xml:space="preserve">. </w:t>
      </w:r>
      <w:r>
        <w:rPr>
          <w:rtl w:val="true"/>
        </w:rPr>
        <w:t>بررسى احاديث تحريف قرآن در منابع روايى شيعه؛</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كلينى در كتاب شريف كافى احاديثى را گرد آورده است كه ظاهراً بر وقوع كاستى در الفاظ قرآن كريم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اين احاديث</w:t>
      </w:r>
    </w:p>
    <w:p>
      <w:pPr>
        <w:pStyle w:val="BookText"/>
        <w:rPr/>
      </w:pPr>
      <w:r>
        <w:rPr>
          <w:rFonts w:ascii="Amiri" w:hAnsi="Amiri" w:eastAsia="Amiri" w:cs="Amiri"/>
          <w:color w:val="111111"/>
          <w:sz w:val="28"/>
          <w:sz w:val="28"/>
          <w:szCs w:val="28"/>
          <w:rtl w:val="true"/>
          <w:lang w:bidi="ar-SA"/>
        </w:rPr>
        <w:t>توسّط وى، اهل سنّت را واداشته است تا نام مرحوم كلينى را در فهرست نام شيعيانى قرار دهند كه به تحريف قرآن باور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روشن است آوردن يك روايت در كتابى كه به منظور گردآورى احاديث شيعه پيش نهاده شده است دلالت صريحى بر ديدگاه گردآورنده آن ندارد، و براى نسبت دادن چنين ديدگاه نادرستى به وى نياز به دلايل بيشترى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 توجّه به آن كه بيشتر اين احاديث در ادّعاى تحريف قرآن صراحتى ندارند و به راحتى قابل تفسير و توجيه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اين احاديث عبارت ديگرى را كه به تفسير يا تأويل قرآن مى‌ماند به برخى آيات مى‌افزايند و ادّعا مى‌كنند كه آيات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وَلايَةِ عَلِىٍّ وَ وَلايَةِ 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ولايت على و ولايت ائمّه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نمايد به رستگارى بزرگى دست يافته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ضعف روايى اين حديث به خاطر على بن ابى حمزه بايد گفت كه منظور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عبارت ميانى به روشنى تأويل آيه و ذكر مصداق برجسته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گونه غير قرآنى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احاديثى كه به عنوان احاديث تحريف مطرح شده‌اند از قبيل همين حديث هستند، و به سختى مى‌توان آن‌ها را صريح در ادّعاى تحريف دانست</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البته اندكى از اين احاديث نيز ظهور بيشترى در معناى تحريف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حديثى كه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خطاب به محمّد بن سنان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 إليه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على هكذا فى الكتاب مخطوطة؛ </w:t>
      </w:r>
      <w:r>
        <w:rPr>
          <w:rStyle w:val="FootnoteAnchor"/>
          <w:rtl w:val="true"/>
        </w:rPr>
        <w:footnoteReference w:id="9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ديگران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كرده‌اند چيزى كه به سويش فرامى‌خوانيد گران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ولايت على است و در كتاب اين‌گونه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فى الكتاب 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اين‌گونه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اين حديث را مشكل مى‌كند، امّا با توجّه به اين‌كه عبارت مذكور واقعاً در قرآن كريم نوشته نشده است امكان دارد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كريم، كه مثلًا لوح محفوظ يا كتاب موسوم به 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ترديدى وجود ندارد كه در صورت صحّت صدور امثال اين احاديث مراد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تأويل باطنى آيات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وارد شده است كه مردى در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قرائت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اعْمَلُوا فَسَيَرَي اللَّهُ عَمَلَكُمْ وَ رَسُولُهُ وَ الْمُؤْمِنُونَ؛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عمل كنيد چه‌آن‌كه خدا و رسول او و مؤمنان عمل شما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هى، إنما هى و المأمونون، فنحن المأمونون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اين گونه نيست، به جاى</w:t>
      </w:r>
    </w:p>
    <w:p>
      <w:pPr>
        <w:pStyle w:val="BookText"/>
        <w:rPr/>
      </w:pPr>
      <w:r>
        <w:rPr>
          <w:rFonts w:ascii="Amiri" w:hAnsi="Amiri" w:eastAsia="Amiri" w:cs="Amiri"/>
          <w:color w:val="111111"/>
          <w:sz w:val="28"/>
          <w:sz w:val="28"/>
          <w:szCs w:val="28"/>
          <w:rtl w:val="true"/>
          <w:lang w:bidi="ar-SA"/>
        </w:rPr>
        <w:t>مؤمنون مأمونون صحيح است، و مأمونون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هستيم</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اگر نتوان اين حديث را به خاطر شباهت و نزديكى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گونه‌اى اختلاف قرائت حمل نمود، ناچار بايد آن را نيز مانند احاديث پيشين گونه‌اى تفسير آيه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حديث از نظر سندى مرسل و ضعيف است و با اين وصف نيازى به چنين توجيهات و تأويلاتى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عمده احاديث تحريف در منابع روايى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روشن مى‌شود كه احاديث مورد ادّعا و ايراد اهل سنّت هيچ صراحتى در مسأله ندارند و با اندكى تأمّل قابل توجيه و تفسيرند</w:t>
      </w:r>
    </w:p>
    <w:p>
      <w:pPr>
        <w:pStyle w:val="BookText"/>
        <w:rPr/>
      </w:pPr>
      <w:r>
        <w:rPr>
          <w:rFonts w:ascii="IRNazanin" w:hAnsi="IRNazanin" w:eastAsia="IRNazanin"/>
          <w:color w:val="111111"/>
          <w:sz w:val="28"/>
          <w:sz w:val="28"/>
          <w:szCs w:val="28"/>
          <w:rtl w:val="true"/>
          <w:lang w:bidi="fa-IR"/>
        </w:rPr>
        <w:t>با اين حال، بايد اعتراف كرد كه در ميان منابع روايى شيعه چند حديث معدود نيز به چشم مى‌خورند كه احتمالًا صريح در تحريف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حديثى كه شيخ صدوق در فضائل الشيعة از ميسر نامى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شيعيان دو تن در آتش ديده نخواهد شد نه به خدا بلكه يك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كجاى كتاب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IRNazanin" w:hAnsi="IRNazanin" w:eastAsia="IRNazanin"/>
          <w:color w:val="111111"/>
          <w:sz w:val="28"/>
          <w:sz w:val="28"/>
          <w:szCs w:val="28"/>
          <w:rtl w:val="true"/>
          <w:lang w:bidi="fa-IR"/>
        </w:rPr>
        <w:t>حضرت سكوت نمود و پاسخى نداد، تا آن‌كه روزى در طواف به همراه آن بزرگوار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براى پاسخ به آن پرسشت اذن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فرموديد در كجاى كتاب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الرحمن، آن‌جا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فَيَوْمَئِذٍ لا يُسْئَلُ عَنْ ذَنْبِهِ إِنْسٌ وَ لا جَانٌّ؛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هيچ انسان و پرى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گناه خود بازخواست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آن را تغيير داد عثمان خليفه سوم بود زيرا آن را به زيان خود و پيروانش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نباشد عقاب خدا از آفريدگانش ساقط مى‌شود، اگر در آن روز هيچ انسان و پرى از گناهش بازخواست نشود پس خدا چه كسى را عقوبت خواهد كرد؟</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بايد دانست كه سند اين روايت جدّاً ضعيف است، زيرا ميسر نامى كه راوى اين حديث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حنظله نامى كه از وى روايت كرده است هر دو مجهول و ناشناخته‌اند، و نمى‌توان به روايت آنان اعتماد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ممكن است منظور از حنظله در سند اين روايت همان حنظلة بن زكريا باشد كه شيخ نجاشى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نبود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سپس بايد دانست كه متن اين روايت و استدلالى كه در ذيل آن شده تأمّل‌برانگيز و فاسد است زيرا،</w:t>
      </w:r>
    </w:p>
    <w:p>
      <w:pPr>
        <w:pStyle w:val="BookText"/>
        <w:rPr/>
      </w:pPr>
      <w:r>
        <w:rPr>
          <w:rFonts w:ascii="IRNazanin" w:hAnsi="IRNazanin" w:eastAsia="IRNazanin"/>
          <w:color w:val="111111"/>
          <w:sz w:val="28"/>
          <w:sz w:val="28"/>
          <w:szCs w:val="28"/>
          <w:rtl w:val="true"/>
          <w:lang w:bidi="fa-IR"/>
        </w:rPr>
        <w:t>اوّلًا، در ميان شيعيان نيز مانند ساير مسلمانان افرادى گناهكار و نافرمان وجود دارند كه بنابر صريح آيات قرآن و احاديث فراوان به خاطر گناهكارى و نافرمانى خود مورد عقوبت الهى قرار خواهند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امكان دارد منظور آيه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هيچ انسان و پرى درباره گناه خود بازخواست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بى‌پايان خداوند به گناهان بندگان و بى‌نيازى او از پرسش و بازخواست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آن روز خداوند نيازى به پرسش و بازخواست از بندگان خويش ندارد و اگر اين كار را انجام مى‌دهد به دليل آگاهى و نياز خود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آن است كه چنين روايات معدودى در منابع روايى شيعه از نظر متن و سند سست و غير قابل اعتماد، و احتمالًا ساخته دست برخى جاعلان و دروغ‌پردازان است</w:t>
      </w:r>
      <w:r>
        <w:rPr>
          <w:rFonts w:eastAsia="IRNazanin" w:cs="IRNazanin"/>
          <w:color w:val="111111"/>
          <w:sz w:val="28"/>
          <w:szCs w:val="28"/>
          <w:rtl w:val="true"/>
          <w:lang w:bidi="fa-IR"/>
        </w:rPr>
        <w:t>.</w:t>
      </w:r>
      <w:bookmarkStart w:id="81" w:name="pg676_2729"/>
    </w:p>
    <w:p>
      <w:pPr>
        <w:pStyle w:val="Heading5"/>
        <w:numPr>
          <w:ilvl w:val="4"/>
          <w:numId w:val="1"/>
        </w:numPr>
        <w:rPr/>
      </w:pPr>
      <w:bookmarkStart w:id="82" w:name="__RefHeading___Toc5751646_211673320"/>
      <w:bookmarkStart w:id="83" w:name="_Toc31"/>
      <w:bookmarkEnd w:id="81"/>
      <w:bookmarkEnd w:id="82"/>
      <w:r>
        <w:rPr/>
        <w:t>2</w:t>
      </w:r>
      <w:r>
        <w:rPr>
          <w:rtl w:val="true"/>
        </w:rPr>
        <w:t xml:space="preserve">. </w:t>
      </w:r>
      <w:r>
        <w:rPr>
          <w:rtl w:val="true"/>
        </w:rPr>
        <w:t>بررسى احاديث تحريف قرآن در منابع روايى اهل‌سنّت؛</w:t>
      </w:r>
      <w:bookmarkEnd w:id="83"/>
    </w:p>
    <w:p>
      <w:pPr>
        <w:pStyle w:val="BookText"/>
        <w:rPr/>
      </w:pPr>
      <w:r>
        <w:rPr>
          <w:rFonts w:ascii="IRNazanin" w:hAnsi="IRNazanin" w:eastAsia="IRNazanin"/>
          <w:color w:val="111111"/>
          <w:sz w:val="28"/>
          <w:sz w:val="28"/>
          <w:szCs w:val="28"/>
          <w:rtl w:val="true"/>
          <w:lang w:bidi="fa-IR"/>
        </w:rPr>
        <w:t>بر خلاف احاديث تحريف قرآن در منابع روايى شيعه، احاديث تحريف قرآن در منابع روايى اهل سنّت گاهى از صراحت عجيب و دلالت غير قابل توجيهى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اهل سنّت با وجود چنين رواياتى در منابع معتبر خود زبان طعن به روى شيعه مى‌گشايند و منابع روايى اين مذهب را به خاطر ذكر احاديثى كه مورد بررسى قرار گرفت سرزنش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منابع اصيل اسلامى به دست مى‌آيد كه نظريه تحريف قرآن نخستين بار در ميان برخى پيشوايان و شخصيت‌هاى اهل سنّت به وجود آمده و احتمالًا توسّط عمر بن خطاب بنيان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شافعى، </w:t>
      </w:r>
      <w:r>
        <w:rPr>
          <w:rStyle w:val="FootnoteAnchor"/>
          <w:rtl w:val="true"/>
        </w:rPr>
        <w:footnoteReference w:id="98"/>
      </w:r>
      <w:r>
        <w:rPr>
          <w:rFonts w:ascii="IRNazanin" w:hAnsi="IRNazanin" w:eastAsia="IRNazanin"/>
          <w:color w:val="111111"/>
          <w:sz w:val="28"/>
          <w:sz w:val="28"/>
          <w:szCs w:val="28"/>
          <w:rtl w:val="true"/>
          <w:lang w:bidi="fa-IR"/>
        </w:rPr>
        <w:t xml:space="preserve">ابن حنبل، </w:t>
      </w:r>
      <w:r>
        <w:rPr>
          <w:rStyle w:val="FootnoteAnchor"/>
          <w:rtl w:val="true"/>
        </w:rPr>
        <w:footnoteReference w:id="99"/>
      </w:r>
      <w:r>
        <w:rPr>
          <w:rFonts w:ascii="IRNazanin" w:hAnsi="IRNazanin" w:eastAsia="IRNazanin"/>
          <w:color w:val="111111"/>
          <w:sz w:val="28"/>
          <w:sz w:val="28"/>
          <w:szCs w:val="28"/>
          <w:rtl w:val="true"/>
          <w:lang w:bidi="fa-IR"/>
        </w:rPr>
        <w:t xml:space="preserve">دارمى، </w:t>
      </w:r>
      <w:r>
        <w:rPr>
          <w:rStyle w:val="FootnoteAnchor"/>
          <w:rtl w:val="true"/>
        </w:rPr>
        <w:footnoteReference w:id="100"/>
      </w:r>
      <w:r>
        <w:rPr>
          <w:rFonts w:ascii="IRNazanin" w:hAnsi="IRNazanin" w:eastAsia="IRNazanin"/>
          <w:color w:val="111111"/>
          <w:sz w:val="28"/>
          <w:sz w:val="28"/>
          <w:szCs w:val="28"/>
          <w:rtl w:val="true"/>
          <w:lang w:bidi="fa-IR"/>
        </w:rPr>
        <w:t xml:space="preserve">بخارى </w:t>
      </w:r>
      <w:r>
        <w:rPr>
          <w:rStyle w:val="FootnoteAnchor"/>
          <w:rtl w:val="true"/>
        </w:rPr>
        <w:footnoteReference w:id="101"/>
      </w:r>
      <w:r>
        <w:rPr>
          <w:rFonts w:ascii="IRNazanin" w:hAnsi="IRNazanin" w:eastAsia="IRNazanin"/>
          <w:color w:val="111111"/>
          <w:sz w:val="28"/>
          <w:sz w:val="28"/>
          <w:szCs w:val="28"/>
          <w:rtl w:val="true"/>
          <w:lang w:bidi="fa-IR"/>
        </w:rPr>
        <w:t xml:space="preserve">و مسلم </w:t>
      </w:r>
      <w:r>
        <w:rPr>
          <w:rStyle w:val="FootnoteAnchor"/>
          <w:rtl w:val="true"/>
        </w:rPr>
        <w:footnoteReference w:id="102"/>
      </w:r>
      <w:r>
        <w:rPr>
          <w:rFonts w:ascii="IRNazanin" w:hAnsi="IRNazanin" w:eastAsia="IRNazanin"/>
          <w:color w:val="111111"/>
          <w:sz w:val="28"/>
          <w:sz w:val="28"/>
          <w:szCs w:val="28"/>
          <w:rtl w:val="true"/>
          <w:lang w:bidi="fa-IR"/>
        </w:rPr>
        <w:t>همگى روايت كرده‌اند كه عمر بن خطاب خطبه‌اى خواند و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مورد آيه رجم هلاك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از شما بگويد كه من در كتاب خدا دو حد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فرمود و ما نيز رجم</w:t>
      </w:r>
    </w:p>
    <w:p>
      <w:pPr>
        <w:pStyle w:val="BookText"/>
        <w:rPr/>
      </w:pPr>
      <w:r>
        <w:rPr>
          <w:rFonts w:ascii="IRNazanin" w:hAnsi="IRNazanin" w:eastAsia="IRNazanin"/>
          <w:color w:val="111111"/>
          <w:sz w:val="28"/>
          <w:sz w:val="28"/>
          <w:szCs w:val="28"/>
          <w:rtl w:val="true"/>
          <w:lang w:bidi="fa-IR"/>
        </w:rPr>
        <w:t>نموديم، و به خدايى كه جانم به دست اوست سوگند كه اگر مردم نمى‌گفتند عمر بر كتاب خدا افزود آيه رجم را مى‌نوشتم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وَ الشَّيخَةُ إذَا زَنيا فَارجمُوهُما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 و پيرزن هرگاه زنا كردند، البته آن دو را رجم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ما اين آيه را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آيه‌اى در كتاب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عمر بن خطاب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آيه را در كتاب خدا مى‌يافتيم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ترغبوا عن آبائكم فإنّ كفراً أن ترغبوا عن آبائكم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روى نگيريد زيرا كفر است كه از پدران خود روى بگيريد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روشن است كه چنين عبارت ركيكى نيز در ميان آيات قرآن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عمر بن خطاب آيه ديگرى را نيز گم كرده بوده و سراغ آن را از عبدالرحمن بن عوف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وى از عبد الرحمن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 بر ما نازل شد نيافتيم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كما جاهدتم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كنيد همان‌گونه كه نخستين بار جهاد كرديد؟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آن‌چه از قرآن ساقط شده افتاده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عايشه نيز برآن بوده كه در قرآن آيه‌اى درباره حرمت نكاح با ده مرتبه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سپس در آيه‌اى ديگر به پنج مرتبه تقليل يافته</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كه به نظر وى هر دو از قرآن ساقط شده است</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هر 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از دنيا رفته كه اين دو به عنوان آيات قرآن قرائت مى‌شده‌اند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ابن عمر نيز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شما نگويد كه همه قرآن را فراگرفته‌ام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مى‌داند كه همه قرآن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بسيارى از قرآن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كه آشكار شده است را فراگرفته‌ام</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اين سخن بى‌پايه صريح در اعتقاد ابن عمر به تحريف قرآن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بر خلاف روايات شيعه، هيچ كدام از اين روايات قابل توجيه و تفسير نيستند و به روشنى بر ديدگاه نادرست برخى صحابه مبنى بر تحريف قرآن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اهل سنّت به جاى سرزنش شيعه، براى اين روايات خويش چاره‌اى بيانديشند و به گونه منصفانه خود را نيز مورد ارزيابى قرار دهند؛ كارى كه البته معدودى از عالمان منصف اهل سنّت انجام داده‌اند و باور موجود در اين روايات</w:t>
      </w:r>
      <w:bookmarkStart w:id="84" w:name="pg676_2732"/>
    </w:p>
    <w:p>
      <w:pPr>
        <w:pStyle w:val="BookText"/>
        <w:rPr/>
      </w:pPr>
      <w:bookmarkEnd w:id="84"/>
      <w:r>
        <w:rPr>
          <w:rFonts w:ascii="IRNazanin" w:hAnsi="IRNazanin" w:eastAsia="IRNazanin"/>
          <w:color w:val="111111"/>
          <w:sz w:val="28"/>
          <w:sz w:val="28"/>
          <w:szCs w:val="28"/>
          <w:rtl w:val="true"/>
          <w:lang w:bidi="fa-IR"/>
        </w:rPr>
        <w:t>را جسارتى شگفت در برابر قرآن برشمرده‌اند</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85" w:name="__RefHeading___Toc5751648_211673320"/>
      <w:bookmarkStart w:id="86" w:name="_Toc32"/>
      <w:bookmarkEnd w:id="85"/>
      <w:r>
        <w:rPr>
          <w:rtl w:val="true"/>
        </w:rPr>
        <w:t>ديدگاه دانشمندان شيعه درباره عدم تحريف قرآن‌</w:t>
      </w:r>
      <w:bookmarkEnd w:id="86"/>
    </w:p>
    <w:p>
      <w:pPr>
        <w:pStyle w:val="BookText"/>
        <w:rPr/>
      </w:pPr>
      <w:r>
        <w:rPr>
          <w:rFonts w:ascii="IRNazanin" w:hAnsi="IRNazanin" w:eastAsia="IRNazanin"/>
          <w:color w:val="111111"/>
          <w:sz w:val="28"/>
          <w:sz w:val="28"/>
          <w:szCs w:val="28"/>
          <w:rtl w:val="true"/>
          <w:lang w:bidi="fa-IR"/>
        </w:rPr>
        <w:t>با توجّه به دلايل استوارى كه پيشتر گذشت، تقريباً همه عالمان شيعه جز عدّه ناچيزى از اخباريان بر عدم تحريف قرآن تأكيد كرده‌اند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بزرگ محدّثان شيعه محمّد بن على بن بابويه قمى معروف به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إعتقادات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پيشواى اصوليان محمّد بن محمّد بن نعمان معروف به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سيد 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طرابلسيات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شيخ الطائفه محمّد بن حسن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ابو على فضل بن حسن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جمال الدين حسن بن يوسف بن مطهّر معروف به 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 بسيارى از دانشمندان معاصر شيعه در كتب و رسائل</w:t>
      </w:r>
      <w:bookmarkStart w:id="87" w:name="pg676_2733"/>
    </w:p>
    <w:p>
      <w:pPr>
        <w:pStyle w:val="BookText"/>
        <w:rPr/>
      </w:pPr>
      <w:bookmarkEnd w:id="87"/>
      <w:r>
        <w:rPr>
          <w:rFonts w:ascii="IRNazanin" w:hAnsi="IRNazanin" w:eastAsia="IRNazanin"/>
          <w:color w:val="111111"/>
          <w:sz w:val="28"/>
          <w:sz w:val="28"/>
          <w:szCs w:val="28"/>
          <w:rtl w:val="true"/>
          <w:lang w:bidi="fa-IR"/>
        </w:rPr>
        <w:t>خود بر تحريف‌ناپذيرى قرآن كريم تصريح و تأكيد كرده‌اند، و اعتقاد به خلاف اين حقيقت را بى‌اهمّيت دانسته‌اند</w:t>
      </w:r>
      <w:r>
        <w:rPr>
          <w:rFonts w:eastAsia="IRNazanin" w:cs="IRNazanin"/>
          <w:color w:val="111111"/>
          <w:sz w:val="28"/>
          <w:szCs w:val="28"/>
          <w:rtl w:val="true"/>
          <w:lang w:bidi="fa-IR"/>
        </w:rPr>
        <w:t>.</w:t>
      </w:r>
    </w:p>
    <w:p>
      <w:pPr>
        <w:pStyle w:val="Heading3"/>
        <w:numPr>
          <w:ilvl w:val="2"/>
          <w:numId w:val="1"/>
        </w:numPr>
        <w:rPr/>
      </w:pPr>
      <w:bookmarkStart w:id="88" w:name="__RefHeading___Toc5751650_211673320"/>
      <w:bookmarkStart w:id="89" w:name="_Toc33"/>
      <w:bookmarkEnd w:id="88"/>
      <w:r>
        <w:rPr/>
        <w:t>2</w:t>
      </w:r>
      <w:r>
        <w:rPr>
          <w:rtl w:val="true"/>
        </w:rPr>
        <w:t xml:space="preserve">. </w:t>
      </w:r>
      <w:r>
        <w:rPr>
          <w:rtl w:val="true"/>
        </w:rPr>
        <w:t>مسأله خيانت جبرئيل در وحى‌</w:t>
      </w:r>
      <w:bookmarkEnd w:id="8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عجيب‌ترين و مضحك‌ترين تهمت‌هاى تاريخى سلفى‌ها به شيعيان آن است كه شيعيان مى‌پندارند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نزول وحى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مأموريت خود خطا يا خيانت كرد و به جاى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پيامبرى برانگيخت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از اين رو، شيعيان پس از سلام نماز سه مرتبه دست‌ها را بالا مى‌آورند و در هر مرتبه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براى اين تهمت تاريخى هيچ پايه و بهانه‌اى وجود نداشته، امّا تحت تأثير تبليغات فراوان، در ميان اهل سنّت شهرت فراوانى در گذشته و حال پيدا كرده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به هر حال،</w:t>
      </w:r>
    </w:p>
    <w:p>
      <w:pPr>
        <w:pStyle w:val="BookText"/>
        <w:rPr/>
      </w:pPr>
      <w:r>
        <w:rPr>
          <w:rFonts w:ascii="IRNazanin" w:hAnsi="IRNazanin" w:eastAsia="IRNazanin"/>
          <w:color w:val="111111"/>
          <w:sz w:val="28"/>
          <w:sz w:val="28"/>
          <w:szCs w:val="28"/>
          <w:rtl w:val="true"/>
          <w:lang w:bidi="fa-IR"/>
        </w:rPr>
        <w:t>ترديدى نيست كه چنين نسبت‌هاى سخيف و جاهلانه‌اى در حقيقت نه كار عالمان برجسته اهل سنّت كه بيشتر نيرنگ كسانى بوده است كه گسترش كينه و بدگمانى در ميان مسلمين را دنبال مى‌كرده‌اند و از اختلاف و تشتّت در ميان مذاهب اسلامى سود مى‌برده‌اند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و مسلّم شيعه نبوّت بى‌چون و چراى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فرشتگان در عمل به اوامر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كريم در مورد نخست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18"/>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بهتر مى‌داند كه رسالت خود را در كجا قرار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مورد اخير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يَسْبِقُونَهُ بِالْقَوْلِ وَ هُمْ بِأَمْرِهِ يَعْمَلُونَ؛ </w:t>
      </w:r>
      <w:r>
        <w:rPr>
          <w:rStyle w:val="FootnoteAnchor"/>
          <w:rtl w:val="true"/>
        </w:rPr>
        <w:footnoteReference w:id="11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در سخن از خداوند پيشى نمى‌گيرند و به فرمان او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شيعه،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برترين شاگرد مكتب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شايسته‌ترين فرد براى جانشينى آن حضرت مى‌داند و از چنين تهمت‌هاى ناروا و نسبت‌هاى پوچى پاك و پيراسته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بالا آوردن سه باره دست‌ها پس از نماز نيز همراه با ذكر خداوند بلند مرتبه و مبتنى بر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آداب مستحبّ نماز است</w:t>
      </w:r>
      <w:r>
        <w:rPr>
          <w:rFonts w:eastAsia="IRNazanin" w:cs="IRNazanin"/>
          <w:color w:val="111111"/>
          <w:sz w:val="28"/>
          <w:szCs w:val="28"/>
          <w:rtl w:val="true"/>
          <w:lang w:bidi="fa-IR"/>
        </w:rPr>
        <w:t>.</w:t>
      </w:r>
      <w:bookmarkStart w:id="90" w:name="pg676_2735"/>
    </w:p>
    <w:p>
      <w:pPr>
        <w:pStyle w:val="Heading2"/>
        <w:numPr>
          <w:ilvl w:val="1"/>
          <w:numId w:val="1"/>
        </w:numPr>
        <w:rPr/>
      </w:pPr>
      <w:bookmarkStart w:id="91" w:name="__RefHeading___Toc5751652_211673320"/>
      <w:bookmarkStart w:id="92" w:name="_Toc34"/>
      <w:bookmarkEnd w:id="90"/>
      <w:bookmarkEnd w:id="91"/>
      <w:r>
        <w:rPr>
          <w:rtl w:val="true"/>
        </w:rPr>
        <w:t>فهرست منابع‌</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محمد عبده، دار الذخائر،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على؛ اعتقادات الإمامية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فضائل الشيعة، كانون انتشارات عابدى، 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صحيح ابن حبان، 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احمد؛ المسند، دار صادر، بيروت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خزيمه، محمّد بن اسحاق؛ صحيح ابن خزيمة، المكتب الاسلامى،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ماجة، محمّد بن يزيد؛ السنن، دار الفكر، بيروت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داود، سليمان بن اشعث؛ سنن أبى داود، دار الفكر،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طالب التجليل؛ شبهات حول الشيعة، دار القرآن الكريم،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اشعرى، احمد بن عيسى؛ النوادر، مدرسة الامام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محمد بن اسماعيل؛ الصحيح، دار الفكر، بيروت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البرقى، احمد بن محمّد؛ المحاسن، دار الكتب الإسلامية، تهران،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 ابو بكر؛ السنن الكبرى، دار الفكر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ترمذى، محمّد بن عيسى؛ سنن الترمذى،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نيشابورى، ابو عبد الله؛ المستدرك على الصحيحين،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الحسن؛ وسائل الشيعة، مؤسسة آل البيت،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حميرى، عبد الله بن جعفر؛ قرب الاسناد، مؤسسة آل البيت لإحياء</w:t>
      </w:r>
    </w:p>
    <w:p>
      <w:pPr>
        <w:pStyle w:val="BookText"/>
        <w:rPr/>
      </w:pPr>
      <w:r>
        <w:rPr>
          <w:rFonts w:ascii="IRNazanin" w:hAnsi="IRNazanin" w:eastAsia="IRNazanin"/>
          <w:color w:val="111111"/>
          <w:sz w:val="28"/>
          <w:sz w:val="28"/>
          <w:szCs w:val="28"/>
          <w:rtl w:val="true"/>
          <w:lang w:bidi="fa-IR"/>
        </w:rPr>
        <w:t xml:space="preserve">التراث،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احمد بن على؛ الكفاية فى علم الرواية، دار الكتاب العربى،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خويى، ابو القاسم؛ البيان فى تفسير القرآن، دار الزهراء، بيروت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على بن عمر؛ سنن الدارقطنى،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الدارمى، عبد الله بن عبد الرحمن؛ سنن الدارمى، مطبعة الاعتدال، دمشق</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ذهبى، محمد بن احمد؛ سير أعلام النبلاء، مؤسسة الرسالة،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رافعى، عبد الكريم؛ فتح العزيز، دار الفكر، بيروت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زينى دحلان، احمد؛ الدرر السنية فى الردّ على الوهابية، مكتبة ايشيق، استامبول،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سبحانى، جعفر؛ الزيارة فى الكتاب و السنّة، بى‌نا، بى‌جا، بى‌تا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السقاف، حسن بن على؛ صحيح شرح العقيدة الطحاوية، دار الإمام النووى، عمان و الاردن،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عبد الله بن محمد؛ تيسير العزيز الحميد فى شرح كتاب التوحيد، مكتبة الرياض الحديثة</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جلال الدين؛ الدرّ المنثور، دار المعرفة، جدة،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شافعى، محمّد بن ادريس؛ اختلاف الحديث، بى‌نا، بى‌تا، بى‌جا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كتاب المسند، دارالكتب العلمية، بيروت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صبحى صالح؛ مباحث فى علوم القرآن، دار العلم للملائين، بيروت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طبرانى، سليمان بن احمد؛ المعجم الكبير، دار إحياء التراث العربى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طيالسى، سليمان بن داود؛ مسند طيالسى، دارالحديث، بيروت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صدقى زهاوى، جميل؛ الفجر الصادق، مكتبة اشيق، استانبول،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سليمان بن احمد؛ المعجم الأوسط،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فضل بن حسن؛ جامع البيان،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محمد بن حسن؛ التبيان فى تفسير القرآن، مكتب الاعلام الاسلامى</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منتخب مسند عبد بن حميد، مكتبة النهضة العربية،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الرزاق الصنعانى؛ المصنف، المجلس العلمى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عجلونى، اسماعيل بن محمّد؛ كشف الخفاء،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عسكرى، سيد مرتضى؛ معالم المدرستين، مؤسسة النعمان،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حلّى، حسن بن يوسف؛ أجوبة المسائل المهناوية، قم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العماد، عصام؛ متن سخنرانى جريانهاى جديد وهابيت، سايت مجمع جهانى شيعه شناسى و پايگاه اطلاع‌رسانى رسا</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محمّد بن يعقوب؛ الكافى، دار الكتب الإسلامية،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كورانى، على؛ الوهابية و التوحيد، دار السيرة،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متقى هندى؛ كنز العمال، مؤسسة الرسالة، بيروت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الوهاب، الأصول الثلاثة و أدلتها، رئاسة ادارات البحوث العلمية و الافتاء و الدعوة و الإرشاد بالمملكة العربية السعودية</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تفسير كلمة التوحيد، من مجموعة التوحيد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الجامع لعبادة الله وحده، من مجموعة التوحيد، مكتبة الرياض الحديثة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القواعد الأربعة، رئاسة ادارات البحوث العلمية و الافتاء و الدعوة و الإرشاد بالمملكة العربية السعودية</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الحجاج؛ صحيح مسلم، دار الفكر، بيروت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المغربى، احمد بن الصديق؛ فتح الملك العلى بصحّة حديث باب مدينة العلم على، 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نجاشى، احمد بن على؛ رجال النجاشى، مؤسسة النشر الاسلامى، قم، </w:t>
      </w:r>
      <w:r>
        <w:rPr>
          <w:rFonts w:eastAsia="Amiri" w:cs="Amiri" w:ascii="Amiri" w:hAnsi="Amiri"/>
          <w:color w:val="111111"/>
          <w:sz w:val="28"/>
          <w:szCs w:val="28"/>
          <w:lang w:bidi="ar-SA"/>
        </w:rPr>
        <w:t>1416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نسائى، احمد بن شعيب؛ السنن الكبرى، دار الفكر 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نووى، محيى الدين؛ روضة الطالبين، دار الكتب العلمية، بيروت</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المجموع، دار الفكر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الهيثمى، نور الدين؛ مجمع الزوائد،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الأصول الثلاثة و أدلتها،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رئاسة ادارات البحوث العلمية و الافتاء و الدعوة و الإرشاد بالمملكة العربية السعودية؛ همو، الجامع لعبادة الله وحده، من مجموعة التوحيد،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مكتبة الرياض الحديثة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رساله با نام أربع قواعد الدين تميز بين المؤمنين و المشركين نيز چاپ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القواعد الأربعة،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رئاسة ادارات البحوث العلمية و الافتاء و الدعوة و الإرشاد بالمملكة العربية السعودية؛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تفسير كلمة التوحيد، من مجموعة التوحيد، ص </w:t>
      </w:r>
      <w:r>
        <w:rPr>
          <w:rFonts w:eastAsia="IRNazanin" w:cs="IRNazanin"/>
          <w:b w:val="false"/>
          <w:bCs w:val="false"/>
          <w:i w:val="false"/>
          <w:iCs w:val="false"/>
          <w:color w:val="333333"/>
          <w:sz w:val="20"/>
          <w:szCs w:val="20"/>
        </w:rPr>
        <w:t>251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فراتى، رهيافتى بر علم سياست و جنبش‌هاى اسلامى معاصر،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مركز جهانى علوم اسلامى،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مؤسسة انصاريان،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شبه الوهابيين بالخوارج و ذلك من عدة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سپس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را براى اين شباهت ذكر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شعار 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شعار وهابيان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دعاء إلا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شفاعة إلا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توسّل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است، كلمات حقّى كه برداشت باطلى از آن‌ها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خوارج نسبت به ظواهر شريعت التزام شديد داشتند و وهابيان نيز همان گونه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خوارج ساير مسلمانان را تكفير مى‌نمودند و مال و خون و عِرض مخالفان خود را حلال مى‌شمردند و روش وهابيان نيز همين بوده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عسكرى، معالم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مؤسسة النعمان، بيروت،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مكتبة اشيق، استانبول،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عصام العماد، متن سخنرانى جريان‌هاى جديد وهابيت، سايت مجمع جهانى شيعه شناسى و پايگاه اطلاع‌رسانى رسا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كورانى، الوهابية و التوحيد، دار السيرة،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 الله بن محمد، تيسير العزيز الحميد في شرح كتاب التوحيد،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مكتبة الرياض الحديثة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السقاف، صحيح شرح العقيدة الطحاوية،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دار الإمام النووي، عمان و الاردن،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جامع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رافعي، فتح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دار الفكر؛ نووي،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دار الفكر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نووي، روضة الطالبين،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دار الكتب العلمية، بيروت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السنن الكبري،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ذكر من درع النبي و عصاه و سيفه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شعره و نعله و آنيته ممّا تبرّك به أصحابه و غيرهم بعد وفاته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الشرب من قدح النبي و آنيته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قرب الاسناد،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مؤسسه آل البيت لإحياء التراث،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نشر الفقاهة،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طبراني،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سبحاني، الزيارة فى الكتاب و السنّة،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الدرر السنية في الردّ علي الوهابية،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ابن حجر، مكتبة ايشيق، استامبول،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و 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لم‌يخرجاه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حميد،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مكتبة النهضة العربية،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المكتب الاسلامى،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الشفاعة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الحسين، 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مؤسسة الامام المهدى،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اشعرى، احمد بن عيسى، النوادر،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مدرسة الامام المهدى،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كافى،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سنن دارمى،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ابن بابويه، الامالى، ص </w:t>
      </w:r>
      <w:r>
        <w:rPr>
          <w:rFonts w:eastAsia="IRNazanin" w:cs="IRNazanin"/>
          <w:b w:val="false"/>
          <w:bCs w:val="false"/>
          <w:i w:val="false"/>
          <w:iCs w:val="false"/>
          <w:color w:val="333333"/>
          <w:sz w:val="20"/>
          <w:szCs w:val="20"/>
        </w:rPr>
        <w:t>779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كتاب المسند، ص </w:t>
      </w:r>
      <w:r>
        <w:rPr>
          <w:rFonts w:eastAsia="IRNazanin" w:cs="IRNazanin"/>
          <w:b w:val="false"/>
          <w:bCs w:val="false"/>
          <w:i w:val="false"/>
          <w:iCs w:val="false"/>
          <w:color w:val="333333"/>
          <w:sz w:val="20"/>
          <w:szCs w:val="20"/>
        </w:rPr>
        <w:t>336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مغربى، فتح الملك العلى، ص </w:t>
      </w:r>
      <w:r>
        <w:rPr>
          <w:rFonts w:eastAsia="IRNazanin" w:cs="IRNazanin"/>
          <w:b w:val="false"/>
          <w:bCs w:val="false"/>
          <w:i w:val="false"/>
          <w:iCs w:val="false"/>
          <w:color w:val="333333"/>
          <w:sz w:val="20"/>
          <w:szCs w:val="20"/>
        </w:rPr>
        <w:t>90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الكفاية فى علم الرواية،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دار الكتاب العربى،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بيهقى،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عجلونى،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البيان فى تفسير القرآن،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دار الزهراء، بيروت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هيثمى،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قرب الاسناد، ص </w:t>
      </w:r>
      <w:r>
        <w:rPr>
          <w:rFonts w:eastAsia="IRNazanin" w:cs="IRNazanin"/>
          <w:b w:val="false"/>
          <w:bCs w:val="false"/>
          <w:i w:val="false"/>
          <w:iCs w:val="false"/>
          <w:color w:val="333333"/>
          <w:sz w:val="20"/>
          <w:szCs w:val="20"/>
        </w:rPr>
        <w:t>92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برخى از اين احاديث اشاره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جعفر بن محمد بن عبيد الله، عن محمد بن عيسى القمى، عن محمد بن سليمان، عن عبد الله بن سنان، عن أبى عبد الله عليه السلام فى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عهدنا إلى آدم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فى محمد وعلى وفاطمة والحسن والحسين والائمة عليهم السلام من ذريتهم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فنسى هكذا والله نزلت على محمد 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إبراهيم، عن أحمد بن محمد البرقى، عن أبيه، عن محمد بن سنان عن عمار بن مروان، عن منخل، عن جابر عن ابى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جبرئيل عليه السلام بهذه الآية على محمد صلى الله عليه وآله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بئسما اشتروا به أنفسهم أن يكفروا بما 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محمد بن سنان، عن عمار بن مروان، عن منخل،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جبرئيل عليه السلام بهذه الآية على محمد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كُنْتُمْ فِى رَيْبٍ مِمَّا نَزَّلْنا عَلى عَبْدِنا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بِسُورَةٍ 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محمد بن سنان، عن عمار بن مروان، عن منخل، عن أبى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جبرئيل عليه السلام على محمد صلى الله عليه وآله بهذه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أوتوا الكتاب آمنوا بما نزلنا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 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عن أحمد بن محمد بن خالد، عن أبيه، عن أبى طالب، عن يونس بن بكار، عن ابيه، عن جابر، عن ابى جعفر عليه السلام وَ لَوْ أَنَّهُمْ فَعَلُوا ما يُوعَظُونَ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خَيْراً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فضائل الشيعة،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كانون انتشارات عابدى، تهران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الاسلامى، قم، </w:t>
      </w:r>
      <w:r>
        <w:rPr>
          <w:rFonts w:eastAsia="IRNazanin" w:cs="IRNazanin"/>
          <w:b w:val="false"/>
          <w:bCs w:val="false"/>
          <w:i w:val="false"/>
          <w:iCs w:val="false"/>
          <w:color w:val="333333"/>
          <w:sz w:val="20"/>
          <w:szCs w:val="20"/>
        </w:rPr>
        <w:t>1416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اختلاف الحديث،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همو، كتاب المسند، ص </w:t>
      </w:r>
      <w:r>
        <w:rPr>
          <w:rFonts w:eastAsia="IRNazanin" w:cs="IRNazanin"/>
          <w:b w:val="false"/>
          <w:bCs w:val="false"/>
          <w:i w:val="false"/>
          <w:iCs w:val="false"/>
          <w:color w:val="333333"/>
          <w:sz w:val="20"/>
          <w:szCs w:val="20"/>
        </w:rPr>
        <w:t>164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طيالسى،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عبد الرزاق، المصنف،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مباحث فى علوم القرآن،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دار العلم للملائين، بيروت</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اعتقادات الإمامية،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الاعتقادات،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الاعتقاد فى مبلغ القرآن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سيد مرتضى در المسائل الطرابلسيات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التبيان فى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مكتب الاعلام الاسلامى</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حلى، أجوبة المسائل المهناوية،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طالب التجليل، شبهات حول الشيعة،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دار القرآن الكريم،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قاضى نعمان مغربى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متوفاى 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وجود كسانى كه احتمالًا در زمان او، چنين ديدگاه سخيفى داشته‌اند خبر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چنان‌كه گفته شد، روشن است كه اين سخن گزافه با مذهب شيعه هيچ ارتباطى نداشته، و احتمالًا سخن يك نفر غالى ديوانه بوده كه بعدها به خاطر شگفتى آن بر سر زبان‌ها افتاده و به ديگر غاليان نيز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محتمل مى‌دانم كه چنين نگرشى هرگز وجود خارجى نداشته و تنها يك فرض يا مثال ذهنى بوده كه مى‌توانسته است از غلو به دست داده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12670</Words>
  <Characters>51385</Characters>
  <CharactersWithSpaces>63527</CharactersWithSpaces>
  <Paragraphs>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2026-08-16T07:52:55Z</dcterms:created>
  <dc:creator>ghaemiyeh.com</dc:creator>
  <dc:description/>
  <dc:language>en-US</dc:language>
  <cp:lastModifiedBy/>
  <dcterms:modified xsi:type="dcterms:W3CDTF">2026-08-16T11:22:58Z</dcterms:modified>
  <cp:revision>1</cp:revision>
  <dc:subject/>
  <dc:title>آشنایی با پیشینه مبانی و دیدگاه های جریان وهابیت</dc:title>
</cp:coreProperties>
</file>

<file path=docProps/custom.xml><?xml version="1.0" encoding="utf-8"?>
<Properties xmlns="http://schemas.openxmlformats.org/officeDocument/2006/custom-properties" xmlns:vt="http://schemas.openxmlformats.org/officeDocument/2006/docPropsVTypes"/>
</file>