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دعا ندبه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904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3904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39047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939049_211673320">
            <w:r>
              <w:rPr>
                <w:webHidden/>
                <w:rStyle w:val="IndexLink"/>
                <w:rtl w:val="true"/>
              </w:rPr>
              <w:t>سند دعای ندبه‌</w:t>
            </w:r>
            <w:r>
              <w:rPr>
                <w:rStyle w:val="IndexLink"/>
                <w:rtl w:val="true"/>
              </w:rPr>
              <w:tab/>
            </w:r>
            <w:r>
              <w:rPr>
                <w:rStyle w:val="IndexLink"/>
              </w:rPr>
              <w:t>6</w:t>
            </w:r>
          </w:hyperlink>
        </w:p>
        <w:p>
          <w:pPr>
            <w:pStyle w:val="Contents2"/>
            <w:tabs>
              <w:tab w:val="clear" w:pos="8743"/>
              <w:tab w:val="right" w:pos="9026" w:leader="dot"/>
            </w:tabs>
            <w:rPr/>
          </w:pPr>
          <w:hyperlink w:anchor="__RefHeading___Toc939051_211673320">
            <w:r>
              <w:rPr>
                <w:webHidden/>
                <w:rStyle w:val="IndexLink"/>
                <w:rtl w:val="true"/>
              </w:rPr>
              <w:t>راه تشخیص روایت صحیح از غیر صحیح</w:t>
            </w:r>
            <w:r>
              <w:rPr>
                <w:rStyle w:val="IndexLink"/>
                <w:rtl w:val="true"/>
              </w:rPr>
              <w:tab/>
            </w:r>
            <w:r>
              <w:rPr>
                <w:rStyle w:val="IndexLink"/>
              </w:rPr>
              <w:t>7</w:t>
            </w:r>
          </w:hyperlink>
        </w:p>
        <w:p>
          <w:pPr>
            <w:pStyle w:val="Contents2"/>
            <w:tabs>
              <w:tab w:val="clear" w:pos="8743"/>
              <w:tab w:val="right" w:pos="9026" w:leader="dot"/>
            </w:tabs>
            <w:rPr/>
          </w:pPr>
          <w:hyperlink w:anchor="__RefHeading___Toc939053_211673320">
            <w:r>
              <w:rPr>
                <w:webHidden/>
                <w:rStyle w:val="IndexLink"/>
                <w:rtl w:val="true"/>
              </w:rPr>
              <w:t>نظر بزرگان درباره دعای ندبه‌</w:t>
            </w:r>
            <w:r>
              <w:rPr>
                <w:rStyle w:val="IndexLink"/>
                <w:rtl w:val="true"/>
              </w:rPr>
              <w:tab/>
            </w:r>
            <w:r>
              <w:rPr>
                <w:rStyle w:val="IndexLink"/>
              </w:rPr>
              <w:t>8</w:t>
            </w:r>
          </w:hyperlink>
        </w:p>
        <w:p>
          <w:pPr>
            <w:pStyle w:val="Contents2"/>
            <w:tabs>
              <w:tab w:val="clear" w:pos="8743"/>
              <w:tab w:val="right" w:pos="9026" w:leader="dot"/>
            </w:tabs>
            <w:rPr/>
          </w:pPr>
          <w:hyperlink w:anchor="__RefHeading___Toc939055_211673320">
            <w:r>
              <w:rPr>
                <w:webHidden/>
                <w:rStyle w:val="IndexLink"/>
                <w:rtl w:val="true"/>
              </w:rPr>
              <w:t>ناقلان دعای ندبه‌</w:t>
            </w:r>
            <w:r>
              <w:rPr>
                <w:rStyle w:val="IndexLink"/>
                <w:rtl w:val="true"/>
              </w:rPr>
              <w:tab/>
            </w:r>
            <w:r>
              <w:rPr>
                <w:rStyle w:val="IndexLink"/>
              </w:rPr>
              <w:t>9</w:t>
            </w:r>
          </w:hyperlink>
        </w:p>
        <w:p>
          <w:pPr>
            <w:pStyle w:val="Contents2"/>
            <w:tabs>
              <w:tab w:val="clear" w:pos="8743"/>
              <w:tab w:val="right" w:pos="9026" w:leader="dot"/>
            </w:tabs>
            <w:rPr/>
          </w:pPr>
          <w:hyperlink w:anchor="__RefHeading___Toc939057_211673320">
            <w:r>
              <w:rPr>
                <w:webHidden/>
                <w:rStyle w:val="IndexLink"/>
                <w:rtl w:val="true"/>
              </w:rPr>
              <w:t>راوی دعای ندبه‌</w:t>
            </w:r>
            <w:r>
              <w:rPr>
                <w:rStyle w:val="IndexLink"/>
                <w:rtl w:val="true"/>
              </w:rPr>
              <w:tab/>
            </w:r>
            <w:r>
              <w:rPr>
                <w:rStyle w:val="IndexLink"/>
              </w:rPr>
              <w:t>10</w:t>
            </w:r>
          </w:hyperlink>
        </w:p>
        <w:p>
          <w:pPr>
            <w:pStyle w:val="Contents2"/>
            <w:tabs>
              <w:tab w:val="clear" w:pos="8743"/>
              <w:tab w:val="right" w:pos="9026" w:leader="dot"/>
            </w:tabs>
            <w:rPr/>
          </w:pPr>
          <w:hyperlink w:anchor="__RefHeading___Toc939059_211673320">
            <w:r>
              <w:rPr>
                <w:webHidden/>
                <w:rStyle w:val="IndexLink"/>
                <w:rtl w:val="true"/>
              </w:rPr>
              <w:t>«</w:t>
            </w:r>
            <w:r>
              <w:rPr>
                <w:rStyle w:val="IndexLink"/>
                <w:rtl w:val="true"/>
              </w:rPr>
              <w:t>محمّد بن مشهدی</w:t>
            </w:r>
            <w:r>
              <w:rPr>
                <w:rStyle w:val="IndexLink"/>
                <w:rtl w:val="true"/>
              </w:rPr>
              <w:t xml:space="preserve">» </w:t>
            </w:r>
            <w:r>
              <w:rPr>
                <w:rStyle w:val="IndexLink"/>
                <w:rtl w:val="true"/>
              </w:rPr>
              <w:t>راوی با واسطه دعای ندبه‌</w:t>
            </w:r>
            <w:r>
              <w:rPr>
                <w:rStyle w:val="IndexLink"/>
                <w:rtl w:val="true"/>
              </w:rPr>
              <w:tab/>
            </w:r>
            <w:r>
              <w:rPr>
                <w:rStyle w:val="IndexLink"/>
              </w:rPr>
              <w:t>11</w:t>
            </w:r>
          </w:hyperlink>
        </w:p>
        <w:p>
          <w:pPr>
            <w:pStyle w:val="Contents2"/>
            <w:tabs>
              <w:tab w:val="clear" w:pos="8743"/>
              <w:tab w:val="right" w:pos="9026" w:leader="dot"/>
            </w:tabs>
            <w:rPr/>
          </w:pPr>
          <w:hyperlink w:anchor="__RefHeading___Toc939061_211673320">
            <w:r>
              <w:rPr>
                <w:webHidden/>
                <w:rStyle w:val="IndexLink"/>
                <w:rtl w:val="true"/>
              </w:rPr>
              <w:t>«</w:t>
            </w:r>
            <w:r>
              <w:rPr>
                <w:rStyle w:val="IndexLink"/>
                <w:rtl w:val="true"/>
              </w:rPr>
              <w:t>محمّد بن علی بن ابی قرّه</w:t>
            </w:r>
            <w:r>
              <w:rPr>
                <w:rStyle w:val="IndexLink"/>
                <w:rtl w:val="true"/>
              </w:rPr>
              <w:t xml:space="preserve">» </w:t>
            </w:r>
            <w:r>
              <w:rPr>
                <w:rStyle w:val="IndexLink"/>
                <w:rtl w:val="true"/>
              </w:rPr>
              <w:t>راوی دیگر دعای ندبه‌</w:t>
            </w:r>
            <w:r>
              <w:rPr>
                <w:rStyle w:val="IndexLink"/>
                <w:rtl w:val="true"/>
              </w:rPr>
              <w:tab/>
            </w:r>
            <w:r>
              <w:rPr>
                <w:rStyle w:val="IndexLink"/>
              </w:rPr>
              <w:t>11</w:t>
            </w:r>
          </w:hyperlink>
        </w:p>
        <w:p>
          <w:pPr>
            <w:pStyle w:val="Contents2"/>
            <w:tabs>
              <w:tab w:val="clear" w:pos="8743"/>
              <w:tab w:val="right" w:pos="9026" w:leader="dot"/>
            </w:tabs>
            <w:rPr/>
          </w:pPr>
          <w:hyperlink w:anchor="__RefHeading___Toc939063_211673320">
            <w:r>
              <w:rPr>
                <w:webHidden/>
                <w:rStyle w:val="IndexLink"/>
                <w:rtl w:val="true"/>
              </w:rPr>
              <w:t>توثیق ابن مشهدی‌</w:t>
            </w:r>
            <w:r>
              <w:rPr>
                <w:rStyle w:val="IndexLink"/>
                <w:rtl w:val="true"/>
              </w:rPr>
              <w:tab/>
            </w:r>
            <w:r>
              <w:rPr>
                <w:rStyle w:val="IndexLink"/>
              </w:rPr>
              <w:t>12</w:t>
            </w:r>
          </w:hyperlink>
        </w:p>
        <w:p>
          <w:pPr>
            <w:pStyle w:val="Contents2"/>
            <w:tabs>
              <w:tab w:val="clear" w:pos="8743"/>
              <w:tab w:val="right" w:pos="9026" w:leader="dot"/>
            </w:tabs>
            <w:rPr/>
          </w:pPr>
          <w:hyperlink w:anchor="__RefHeading___Toc939065_211673320">
            <w:r>
              <w:rPr>
                <w:webHidden/>
                <w:rStyle w:val="IndexLink"/>
                <w:rtl w:val="true"/>
              </w:rPr>
              <w:t>دعای ندبه از کدامین امام است؟</w:t>
            </w:r>
            <w:r>
              <w:rPr>
                <w:rStyle w:val="IndexLink"/>
                <w:rtl w:val="true"/>
              </w:rPr>
              <w:tab/>
            </w:r>
            <w:r>
              <w:rPr>
                <w:rStyle w:val="IndexLink"/>
              </w:rPr>
              <w:t>12</w:t>
            </w:r>
          </w:hyperlink>
        </w:p>
        <w:p>
          <w:pPr>
            <w:pStyle w:val="Contents2"/>
            <w:tabs>
              <w:tab w:val="clear" w:pos="8743"/>
              <w:tab w:val="right" w:pos="9026" w:leader="dot"/>
            </w:tabs>
            <w:rPr/>
          </w:pPr>
          <w:hyperlink w:anchor="__RefHeading___Toc939067_211673320">
            <w:r>
              <w:rPr>
                <w:webHidden/>
                <w:rStyle w:val="IndexLink"/>
                <w:rtl w:val="true"/>
              </w:rPr>
              <w:t>ارتباط امام زمان‌علیه السلام با کوه رَضْوی و ذی طوی‌</w:t>
            </w:r>
            <w:r>
              <w:rPr>
                <w:rStyle w:val="IndexLink"/>
                <w:rtl w:val="true"/>
              </w:rPr>
              <w:tab/>
            </w:r>
            <w:r>
              <w:rPr>
                <w:rStyle w:val="IndexLink"/>
              </w:rPr>
              <w:t>15</w:t>
            </w:r>
          </w:hyperlink>
        </w:p>
        <w:p>
          <w:pPr>
            <w:pStyle w:val="Contents2"/>
            <w:tabs>
              <w:tab w:val="clear" w:pos="8743"/>
              <w:tab w:val="right" w:pos="9026" w:leader="dot"/>
            </w:tabs>
            <w:rPr/>
          </w:pPr>
          <w:hyperlink w:anchor="__RefHeading___Toc939069_211673320">
            <w:r>
              <w:rPr>
                <w:webHidden/>
                <w:rStyle w:val="IndexLink"/>
                <w:rtl w:val="true"/>
              </w:rPr>
              <w:t>عدم تصریح به نام تمام امامان‌</w:t>
            </w:r>
            <w:r>
              <w:rPr>
                <w:rStyle w:val="IndexLink"/>
                <w:rtl w:val="true"/>
              </w:rPr>
              <w:tab/>
            </w:r>
            <w:r>
              <w:rPr>
                <w:rStyle w:val="IndexLink"/>
              </w:rPr>
              <w:t>16</w:t>
            </w:r>
          </w:hyperlink>
        </w:p>
        <w:p>
          <w:pPr>
            <w:pStyle w:val="Contents2"/>
            <w:tabs>
              <w:tab w:val="clear" w:pos="8743"/>
              <w:tab w:val="right" w:pos="9026" w:leader="dot"/>
            </w:tabs>
            <w:rPr/>
          </w:pPr>
          <w:hyperlink w:anchor="__RefHeading___Toc939071_211673320">
            <w:r>
              <w:rPr>
                <w:webHidden/>
                <w:rStyle w:val="IndexLink"/>
                <w:rtl w:val="true"/>
              </w:rPr>
              <w:t>مخالفت با معراج جسمانی‌</w:t>
            </w:r>
            <w:r>
              <w:rPr>
                <w:rStyle w:val="IndexLink"/>
                <w:rtl w:val="true"/>
              </w:rPr>
              <w:tab/>
            </w:r>
            <w:r>
              <w:rPr>
                <w:rStyle w:val="IndexLink"/>
              </w:rPr>
              <w:t>17</w:t>
            </w:r>
          </w:hyperlink>
        </w:p>
        <w:p>
          <w:pPr>
            <w:pStyle w:val="Contents2"/>
            <w:tabs>
              <w:tab w:val="clear" w:pos="8743"/>
              <w:tab w:val="right" w:pos="9026" w:leader="dot"/>
            </w:tabs>
            <w:rPr/>
          </w:pPr>
          <w:hyperlink w:anchor="__RefHeading___Toc939073_211673320">
            <w:r>
              <w:rPr>
                <w:webHidden/>
                <w:rStyle w:val="IndexLink"/>
                <w:rtl w:val="true"/>
              </w:rPr>
              <w:t>تألیفات درباره دعای ندبه‌</w:t>
            </w:r>
            <w:r>
              <w:rPr>
                <w:rStyle w:val="IndexLink"/>
                <w:rtl w:val="true"/>
              </w:rPr>
              <w:tab/>
            </w:r>
            <w:r>
              <w:rPr>
                <w:rStyle w:val="IndexLink"/>
              </w:rPr>
              <w:t>18</w:t>
            </w:r>
          </w:hyperlink>
        </w:p>
        <w:p>
          <w:pPr>
            <w:pStyle w:val="Contents2"/>
            <w:tabs>
              <w:tab w:val="clear" w:pos="8743"/>
              <w:tab w:val="right" w:pos="9026" w:leader="dot"/>
            </w:tabs>
            <w:rPr/>
          </w:pPr>
          <w:hyperlink w:anchor="__RefHeading___Toc939075_211673320">
            <w:r>
              <w:rPr>
                <w:webHidden/>
                <w:rStyle w:val="IndexLink"/>
                <w:rtl w:val="true"/>
              </w:rPr>
              <w:t>دعاهای دیگر در عصر غیبت‌</w:t>
            </w:r>
            <w:r>
              <w:rPr>
                <w:rStyle w:val="IndexLink"/>
                <w:rtl w:val="true"/>
              </w:rPr>
              <w:tab/>
            </w:r>
            <w:r>
              <w:rPr>
                <w:rStyle w:val="IndexLink"/>
              </w:rPr>
              <w:t>19</w:t>
            </w:r>
          </w:hyperlink>
        </w:p>
        <w:p>
          <w:pPr>
            <w:pStyle w:val="Contents2"/>
            <w:tabs>
              <w:tab w:val="clear" w:pos="8743"/>
              <w:tab w:val="right" w:pos="9026" w:leader="dot"/>
            </w:tabs>
            <w:rPr/>
          </w:pPr>
          <w:hyperlink w:anchor="__RefHeading___Toc939077_211673320">
            <w:r>
              <w:rPr>
                <w:webHidden/>
                <w:rStyle w:val="IndexLink"/>
                <w:rtl w:val="true"/>
              </w:rPr>
              <w:t>مکان‌های سفارش شده برای دعا در عصر غیبت‌</w:t>
            </w:r>
            <w:r>
              <w:rPr>
                <w:rStyle w:val="IndexLink"/>
                <w:rtl w:val="true"/>
              </w:rPr>
              <w:tab/>
            </w:r>
            <w:r>
              <w:rPr>
                <w:rStyle w:val="IndexLink"/>
              </w:rPr>
              <w:t>20</w:t>
            </w:r>
          </w:hyperlink>
        </w:p>
        <w:p>
          <w:pPr>
            <w:pStyle w:val="Contents2"/>
            <w:tabs>
              <w:tab w:val="clear" w:pos="8743"/>
              <w:tab w:val="right" w:pos="9026" w:leader="dot"/>
            </w:tabs>
            <w:rPr/>
          </w:pPr>
          <w:hyperlink w:anchor="__RefHeading___Toc939079_211673320">
            <w:r>
              <w:rPr>
                <w:webHidden/>
                <w:rStyle w:val="IndexLink"/>
                <w:rtl w:val="true"/>
              </w:rPr>
              <w:t>فلسفه توسّل به امام زمان‌علیه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939081_211673320">
            <w:r>
              <w:rPr>
                <w:webHidden/>
                <w:rStyle w:val="IndexLink"/>
                <w:rtl w:val="true"/>
              </w:rPr>
              <w:t>نهی از عجله‌</w:t>
            </w:r>
            <w:r>
              <w:rPr>
                <w:rStyle w:val="IndexLink"/>
                <w:rtl w:val="true"/>
              </w:rPr>
              <w:tab/>
            </w:r>
            <w:r>
              <w:rPr>
                <w:rStyle w:val="IndexLink"/>
              </w:rPr>
              <w:t>23</w:t>
            </w:r>
          </w:hyperlink>
        </w:p>
        <w:p>
          <w:pPr>
            <w:pStyle w:val="Contents2"/>
            <w:tabs>
              <w:tab w:val="clear" w:pos="8743"/>
              <w:tab w:val="right" w:pos="9026" w:leader="dot"/>
            </w:tabs>
            <w:rPr/>
          </w:pPr>
          <w:hyperlink w:anchor="__RefHeading___Toc939083_211673320">
            <w:r>
              <w:rPr>
                <w:webHidden/>
                <w:rStyle w:val="IndexLink"/>
                <w:rtl w:val="true"/>
              </w:rPr>
              <w:t>دعای عهد</w:t>
            </w:r>
            <w:r>
              <w:rPr>
                <w:rStyle w:val="IndexLink"/>
                <w:rtl w:val="true"/>
              </w:rPr>
              <w:tab/>
            </w:r>
            <w:r>
              <w:rPr>
                <w:rStyle w:val="IndexLink"/>
              </w:rPr>
              <w:t>23</w:t>
            </w:r>
          </w:hyperlink>
        </w:p>
        <w:p>
          <w:pPr>
            <w:pStyle w:val="Contents2"/>
            <w:tabs>
              <w:tab w:val="clear" w:pos="8743"/>
              <w:tab w:val="right" w:pos="9026" w:leader="dot"/>
            </w:tabs>
            <w:rPr/>
          </w:pPr>
          <w:hyperlink w:anchor="__RefHeading___Toc939085_211673320">
            <w:r>
              <w:rPr>
                <w:webHidden/>
                <w:rStyle w:val="IndexLink"/>
                <w:rtl w:val="true"/>
              </w:rPr>
              <w:t xml:space="preserve">ولایت تکوینی امام زمان </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939087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939089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939091_211673320">
            <w:r>
              <w:rPr>
                <w:webHidden/>
                <w:rStyle w:val="IndexLink"/>
                <w:rtl w:val="true"/>
              </w:rPr>
              <w:t>تعریف ولایت‌</w:t>
            </w:r>
            <w:r>
              <w:rPr>
                <w:rStyle w:val="IndexLink"/>
                <w:rtl w:val="true"/>
              </w:rPr>
              <w:tab/>
            </w:r>
            <w:r>
              <w:rPr>
                <w:rStyle w:val="IndexLink"/>
              </w:rPr>
              <w:t>26</w:t>
            </w:r>
          </w:hyperlink>
        </w:p>
        <w:p>
          <w:pPr>
            <w:pStyle w:val="Contents3"/>
            <w:tabs>
              <w:tab w:val="clear" w:pos="8459"/>
              <w:tab w:val="right" w:pos="9026" w:leader="dot"/>
            </w:tabs>
            <w:rPr/>
          </w:pPr>
          <w:hyperlink w:anchor="__RefHeading___Toc939093_211673320">
            <w:r>
              <w:rPr>
                <w:webHidden/>
                <w:rStyle w:val="IndexLink"/>
                <w:rtl w:val="true"/>
              </w:rPr>
              <w:t>معنای ولایت تکوینی‌</w:t>
            </w:r>
            <w:r>
              <w:rPr>
                <w:rStyle w:val="IndexLink"/>
                <w:rtl w:val="true"/>
              </w:rPr>
              <w:tab/>
            </w:r>
            <w:r>
              <w:rPr>
                <w:rStyle w:val="IndexLink"/>
              </w:rPr>
              <w:t>28</w:t>
            </w:r>
          </w:hyperlink>
        </w:p>
        <w:p>
          <w:pPr>
            <w:pStyle w:val="Contents3"/>
            <w:tabs>
              <w:tab w:val="clear" w:pos="8459"/>
              <w:tab w:val="right" w:pos="9026" w:leader="dot"/>
            </w:tabs>
            <w:rPr/>
          </w:pPr>
          <w:hyperlink w:anchor="__RefHeading___Toc939095_211673320">
            <w:r>
              <w:rPr>
                <w:webHidden/>
                <w:rStyle w:val="IndexLink"/>
                <w:rtl w:val="true"/>
              </w:rPr>
              <w:t>توجّه به باطن‌</w:t>
            </w:r>
            <w:r>
              <w:rPr>
                <w:rStyle w:val="IndexLink"/>
                <w:rtl w:val="true"/>
              </w:rPr>
              <w:tab/>
            </w:r>
            <w:r>
              <w:rPr>
                <w:rStyle w:val="IndexLink"/>
              </w:rPr>
              <w:t>28</w:t>
            </w:r>
          </w:hyperlink>
        </w:p>
        <w:p>
          <w:pPr>
            <w:pStyle w:val="Contents3"/>
            <w:tabs>
              <w:tab w:val="clear" w:pos="8459"/>
              <w:tab w:val="right" w:pos="9026" w:leader="dot"/>
            </w:tabs>
            <w:rPr/>
          </w:pPr>
          <w:hyperlink w:anchor="__RefHeading___Toc939097_211673320">
            <w:r>
              <w:rPr>
                <w:webHidden/>
                <w:rStyle w:val="IndexLink"/>
                <w:rtl w:val="true"/>
              </w:rPr>
              <w:t>اثر بندگی خدا</w:t>
            </w:r>
            <w:r>
              <w:rPr>
                <w:rStyle w:val="IndexLink"/>
                <w:rtl w:val="true"/>
              </w:rPr>
              <w:tab/>
            </w:r>
            <w:r>
              <w:rPr>
                <w:rStyle w:val="IndexLink"/>
              </w:rPr>
              <w:t>29</w:t>
            </w:r>
          </w:hyperlink>
        </w:p>
        <w:p>
          <w:pPr>
            <w:pStyle w:val="Contents3"/>
            <w:tabs>
              <w:tab w:val="clear" w:pos="8459"/>
              <w:tab w:val="right" w:pos="9026" w:leader="dot"/>
            </w:tabs>
            <w:rPr/>
          </w:pPr>
          <w:hyperlink w:anchor="__RefHeading___Toc939099_211673320">
            <w:r>
              <w:rPr>
                <w:webHidden/>
                <w:rStyle w:val="IndexLink"/>
                <w:rtl w:val="true"/>
              </w:rPr>
              <w:t>قرب الهی‌</w:t>
            </w:r>
            <w:r>
              <w:rPr>
                <w:rStyle w:val="IndexLink"/>
                <w:rtl w:val="true"/>
              </w:rPr>
              <w:tab/>
            </w:r>
            <w:r>
              <w:rPr>
                <w:rStyle w:val="IndexLink"/>
              </w:rPr>
              <w:t>30</w:t>
            </w:r>
          </w:hyperlink>
        </w:p>
        <w:p>
          <w:pPr>
            <w:pStyle w:val="Contents3"/>
            <w:tabs>
              <w:tab w:val="clear" w:pos="8459"/>
              <w:tab w:val="right" w:pos="9026" w:leader="dot"/>
            </w:tabs>
            <w:rPr/>
          </w:pPr>
          <w:hyperlink w:anchor="__RefHeading___Toc939101_211673320">
            <w:r>
              <w:rPr>
                <w:webHidden/>
                <w:rStyle w:val="IndexLink"/>
                <w:rtl w:val="true"/>
              </w:rPr>
              <w:t>آثار قرب الهی‌</w:t>
            </w:r>
            <w:r>
              <w:rPr>
                <w:rStyle w:val="IndexLink"/>
                <w:rtl w:val="true"/>
              </w:rPr>
              <w:tab/>
            </w:r>
            <w:r>
              <w:rPr>
                <w:rStyle w:val="IndexLink"/>
              </w:rPr>
              <w:t>32</w:t>
            </w:r>
          </w:hyperlink>
        </w:p>
        <w:p>
          <w:pPr>
            <w:pStyle w:val="Contents3"/>
            <w:tabs>
              <w:tab w:val="clear" w:pos="8459"/>
              <w:tab w:val="right" w:pos="9026" w:leader="dot"/>
            </w:tabs>
            <w:rPr/>
          </w:pPr>
          <w:hyperlink w:anchor="__RefHeading___Toc939103_211673320">
            <w:r>
              <w:rPr>
                <w:webHidden/>
                <w:rStyle w:val="IndexLink"/>
                <w:rtl w:val="true"/>
              </w:rPr>
              <w:t>قرآن و ولایت تکوینی اولیای الهی‌</w:t>
            </w:r>
            <w:r>
              <w:rPr>
                <w:rStyle w:val="IndexLink"/>
                <w:rtl w:val="true"/>
              </w:rPr>
              <w:tab/>
            </w:r>
            <w:r>
              <w:rPr>
                <w:rStyle w:val="IndexLink"/>
              </w:rPr>
              <w:t>35</w:t>
            </w:r>
          </w:hyperlink>
        </w:p>
        <w:p>
          <w:pPr>
            <w:pStyle w:val="Contents3"/>
            <w:tabs>
              <w:tab w:val="clear" w:pos="8459"/>
              <w:tab w:val="right" w:pos="9026" w:leader="dot"/>
            </w:tabs>
            <w:rPr/>
          </w:pPr>
          <w:hyperlink w:anchor="__RefHeading___Toc939105_211673320">
            <w:r>
              <w:rPr>
                <w:webHidden/>
                <w:rStyle w:val="IndexLink"/>
                <w:rtl w:val="true"/>
              </w:rPr>
              <w:t>ولایت تکوینی امام زمان‌علیه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939107_211673320">
            <w:r>
              <w:rPr>
                <w:webHidden/>
                <w:rStyle w:val="IndexLink"/>
                <w:rtl w:val="true"/>
              </w:rPr>
              <w:t>سلسله کتب چاپ شده از مؤلف پیرامون مهدویت‌</w:t>
            </w:r>
            <w:r>
              <w:rPr>
                <w:rStyle w:val="IndexLink"/>
                <w:rtl w:val="true"/>
              </w:rPr>
              <w:tab/>
            </w:r>
            <w:r>
              <w:rPr>
                <w:rStyle w:val="IndexLink"/>
              </w:rPr>
              <w:t>45</w:t>
            </w:r>
          </w:hyperlink>
        </w:p>
        <w:p>
          <w:pPr>
            <w:pStyle w:val="Contents2"/>
            <w:tabs>
              <w:tab w:val="clear" w:pos="8743"/>
              <w:tab w:val="right" w:pos="9026" w:leader="dot"/>
            </w:tabs>
            <w:rPr/>
          </w:pPr>
          <w:hyperlink w:anchor="__RefHeading___Toc939109_211673320">
            <w:r>
              <w:rPr>
                <w:webHidden/>
                <w:rStyle w:val="IndexLink"/>
                <w:rtl w:val="true"/>
              </w:rPr>
              <w:t>فهرست منشورات مسجد مقدّس جمکران‌</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_563"/>
      <w:bookmarkStart w:id="1" w:name="pg126_563"/>
      <w:bookmarkEnd w:id="1"/>
    </w:p>
    <w:p>
      <w:pPr>
        <w:pStyle w:val="Heading2"/>
        <w:numPr>
          <w:ilvl w:val="1"/>
          <w:numId w:val="1"/>
        </w:numPr>
        <w:rPr/>
      </w:pPr>
      <w:bookmarkStart w:id="2" w:name="pg126_563"/>
      <w:bookmarkStart w:id="3" w:name="__RefHeading___Toc93904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۲۶۹</w:t>
      </w:r>
      <w:r>
        <w:rPr>
          <w:rFonts w:eastAsia="IRNazanin" w:cs="IRNazanin"/>
          <w:color w:val="111111"/>
          <w:sz w:val="28"/>
          <w:szCs w:val="28"/>
          <w:lang w:bidi="fa-IR"/>
        </w:rPr>
        <w:t>/</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9045_211673320"/>
      <w:bookmarkStart w:id="6" w:name="_Toc2"/>
      <w:bookmarkEnd w:id="5"/>
      <w:r>
        <w:rPr>
          <w:rtl w:val="true"/>
        </w:rPr>
        <w:t>اشاره</w:t>
      </w:r>
      <w:bookmarkStart w:id="7" w:name="pg126_574"/>
      <w:bookmarkEnd w:id="6"/>
    </w:p>
    <w:p>
      <w:pPr>
        <w:pStyle w:val="Heading2"/>
        <w:numPr>
          <w:ilvl w:val="1"/>
          <w:numId w:val="1"/>
        </w:numPr>
        <w:rPr/>
      </w:pPr>
      <w:bookmarkStart w:id="8" w:name="__RefHeading___Toc939047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126_577"/>
    </w:p>
    <w:p>
      <w:pPr>
        <w:pStyle w:val="Heading2"/>
        <w:numPr>
          <w:ilvl w:val="1"/>
          <w:numId w:val="1"/>
        </w:numPr>
        <w:rPr/>
      </w:pPr>
      <w:bookmarkStart w:id="11" w:name="__RefHeading___Toc939049_211673320"/>
      <w:bookmarkStart w:id="12" w:name="_Toc4"/>
      <w:bookmarkEnd w:id="10"/>
      <w:bookmarkEnd w:id="11"/>
      <w:r>
        <w:rPr>
          <w:rtl w:val="true"/>
        </w:rPr>
        <w:t>سند دعای ندبه‌</w:t>
      </w:r>
      <w:bookmarkEnd w:id="12"/>
    </w:p>
    <w:p>
      <w:pPr>
        <w:pStyle w:val="BookText"/>
        <w:rPr/>
      </w:pPr>
      <w:r>
        <w:rPr>
          <w:rFonts w:ascii="IRNazanin" w:hAnsi="IRNazanin" w:eastAsia="IRNazanin"/>
          <w:color w:val="111111"/>
          <w:sz w:val="28"/>
          <w:sz w:val="28"/>
          <w:szCs w:val="28"/>
          <w:rtl w:val="true"/>
          <w:lang w:bidi="fa-IR"/>
        </w:rPr>
        <w:t>روش عرف و عقلا در مسائل تاریخی، قبول هر خبری است که در کتب تاریخی معتبر یا مشهور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علمای اسلام در قبول اخبار و روایاتی که مربوط به احکام شرع و معارف دینی است به این مقدار اکتفا نمی‌کنند، بلکه درصدد بحث و تحقیق برآمده و در سند احادیث و عدالت و وثاقت راویان حدیث بررسی کامل می‌کنند، و مادامی که اطمینان کامل و وثوق به احادیث پیدا نکنند به آن عمل نمی‌نمایند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دقت و تحقیق به جهت حصول اطمینان به صدور حدیث از معصوم در مورد تکالیف الزامی، اعم از وجوب و حرمت دو چندان می‌شود، ولی در مورد مستحبات احتیاج مبرم به این گونه بررسی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ادعیه از این قسم است؛ زیرا به جهت استحباب قرائت آن احتیاج مبرمی به بررسی سندی ندارد، بلکه قرائت آن به رجا و امید مطلوبیّت کافی است، و می‌توان از قوت متن و الفاظ و مضامین دعا پی به اعتبار آن برد؛ زیرا این مضامین در آیات و روایات معتبر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آن‌که مطابق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تسامح در ادله سنن و مستحبات دارد، احتیاج چندانی به بررسی سند ادعیه مستحبّه نیست</w:t>
      </w:r>
      <w:r>
        <w:rPr>
          <w:rFonts w:eastAsia="IRNazanin" w:cs="IRNazanin"/>
          <w:color w:val="111111"/>
          <w:sz w:val="28"/>
          <w:szCs w:val="28"/>
          <w:rtl w:val="true"/>
          <w:lang w:bidi="fa-IR"/>
        </w:rPr>
        <w:t>.</w:t>
      </w:r>
      <w:bookmarkStart w:id="13" w:name="pg126_579"/>
    </w:p>
    <w:p>
      <w:pPr>
        <w:pStyle w:val="Heading2"/>
        <w:numPr>
          <w:ilvl w:val="1"/>
          <w:numId w:val="1"/>
        </w:numPr>
        <w:rPr/>
      </w:pPr>
      <w:bookmarkStart w:id="14" w:name="__RefHeading___Toc939051_211673320"/>
      <w:bookmarkStart w:id="15" w:name="_Toc5"/>
      <w:bookmarkEnd w:id="13"/>
      <w:bookmarkEnd w:id="14"/>
      <w:r>
        <w:rPr>
          <w:rtl w:val="true"/>
        </w:rPr>
        <w:t>راه تشخیص روایت صحیح از غیر صحیح</w:t>
      </w:r>
      <w:bookmarkEnd w:id="15"/>
    </w:p>
    <w:p>
      <w:pPr>
        <w:pStyle w:val="BookText"/>
        <w:rPr/>
      </w:pPr>
      <w:r>
        <w:rPr>
          <w:rFonts w:ascii="IRNazanin" w:hAnsi="IRNazanin" w:eastAsia="IRNazanin"/>
          <w:color w:val="111111"/>
          <w:sz w:val="28"/>
          <w:sz w:val="28"/>
          <w:szCs w:val="28"/>
          <w:rtl w:val="true"/>
          <w:lang w:bidi="fa-IR"/>
        </w:rPr>
        <w:t>از آنجا که برخی از کذّابین از زمان پیامبر اکرم‌صلی الله علیه وآله درصدد جعل و وضع حدیث و نسبت آن به پیامبر و اهل بیت‌علیهم السلام بوده‌اند، لذا جا دارد که میزانی را برای تمییز بین حدیث صحیح از غیر صحیح به دست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چند میزان می‌توان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با قرآن</w:t>
      </w:r>
    </w:p>
    <w:p>
      <w:pPr>
        <w:pStyle w:val="BookText"/>
        <w:rPr/>
      </w:pPr>
      <w:r>
        <w:rPr>
          <w:rFonts w:ascii="IRNazanin" w:hAnsi="IRNazanin" w:eastAsia="IRNazanin"/>
          <w:color w:val="111111"/>
          <w:sz w:val="28"/>
          <w:sz w:val="28"/>
          <w:szCs w:val="28"/>
          <w:rtl w:val="true"/>
          <w:lang w:bidi="fa-IR"/>
        </w:rPr>
        <w:t>امام صادق‌علیه السلام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هر حقّی حقیقتی و بر هر صوابی نوری است، پس آنچه موافق کتاب خداست اخذ کرده و آنچه مخالف کتاب خداست رها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با سایر کلمات معصومین‌علیهم السلام</w:t>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شما احادیث مختلف به ما می‌رسد؟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جآءک عنّا فقِس علی کتاب اللَّه عزّوجلّ وأحادیثنا، فإن کان یشبههما فهو منّا، وإن لم یکن یشبههما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جانب ما به شما رسید بر کتاب خداوند عزّوجلّ و احادیث ما مقایسه کنید، اگر شبیه آن دو است از ما می‌باشد، وگرنه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با عقل و عدم مخالفت با حکم آن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خداصلی الله علیه وآله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من حدیثی به</w:t>
      </w:r>
      <w:bookmarkStart w:id="16" w:name="pg126_581"/>
    </w:p>
    <w:p>
      <w:pPr>
        <w:pStyle w:val="BookText"/>
        <w:rPr/>
      </w:pPr>
      <w:bookmarkEnd w:id="16"/>
      <w:r>
        <w:rPr>
          <w:rFonts w:ascii="IRNazanin" w:hAnsi="IRNazanin" w:eastAsia="IRNazanin"/>
          <w:color w:val="111111"/>
          <w:sz w:val="28"/>
          <w:sz w:val="28"/>
          <w:szCs w:val="28"/>
          <w:rtl w:val="true"/>
          <w:lang w:bidi="fa-IR"/>
        </w:rPr>
        <w:t>شما رسید آن را بر کتاب خدا و حجّت عقولتان عرضه بدارید، اگر موافق این دو بود قبول کرده وگرنه آن را بر دیوار زنید</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17" w:name="__RefHeading___Toc939053_211673320"/>
      <w:bookmarkStart w:id="18" w:name="_Toc6"/>
      <w:bookmarkEnd w:id="17"/>
      <w:r>
        <w:rPr>
          <w:rtl w:val="true"/>
        </w:rPr>
        <w:t>نظر بزرگان درباره دعای ندبه‌</w:t>
      </w:r>
      <w:bookmarkEnd w:id="18"/>
    </w:p>
    <w:p>
      <w:pPr>
        <w:pStyle w:val="BookText"/>
        <w:rPr/>
      </w:pPr>
      <w:r>
        <w:rPr>
          <w:rFonts w:ascii="IRNazanin" w:hAnsi="IRNazanin" w:eastAsia="IRNazanin"/>
          <w:color w:val="111111"/>
          <w:sz w:val="28"/>
          <w:sz w:val="28"/>
          <w:szCs w:val="28"/>
          <w:rtl w:val="true"/>
          <w:lang w:bidi="fa-IR"/>
        </w:rPr>
        <w:t xml:space="preserve">شیخ مرتضی انصاری‌رحمه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خیارات 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بگوییم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التزامات ابتدایی صادق نیست، بلکه متبادر عرفی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التزامات تابع عقد است، همان گونه که از موارد استعمال این کلمه در مثل قول امام در دعای ندبه استفاده می‌شود، آنجا که در ابتدای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شرطت علیهم الزهد فی درجات هذه الدنیا الدنیّة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شیخ انصاری‌رحمه الله گویا این دعا را امر مفروغ عنه از حیث صحت گرفته و لذا به آن در مجال احکام شرعیه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محشّین مکاسب شیخ بر او در این نکته هیچ اعتراضی نکرده و سند آن را نیز مورد مناقشه قرار نداده‌اند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عبداللَّه مامقانی در حاشیه خود بر مکاسب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دلالت این جمله از دعا بر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به این بر می‌گردد که خداوند عزّوجلّ به بندگان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دنیا زهد پیشه کند من به او نعمت مقیم عطا خواهم کرد</w:t>
      </w:r>
      <w:r>
        <w:rPr>
          <w:rFonts w:eastAsia="IRNazanin" w:cs="IRNazanin"/>
          <w:color w:val="111111"/>
          <w:sz w:val="28"/>
          <w:szCs w:val="28"/>
          <w:rtl w:val="true"/>
          <w:lang w:bidi="fa-IR"/>
        </w:rPr>
        <w:t>...».</w:t>
      </w:r>
      <w:r>
        <w:rPr>
          <w:rStyle w:val="FootnoteAnchor"/>
          <w:rtl w:val="true"/>
        </w:rPr>
        <w:footnoteReference w:id="6"/>
      </w:r>
      <w:bookmarkStart w:id="19" w:name="pg126_583"/>
    </w:p>
    <w:p>
      <w:pPr>
        <w:pStyle w:val="BookText"/>
        <w:rPr/>
      </w:pPr>
      <w:bookmarkEnd w:id="19"/>
      <w:r>
        <w:rPr>
          <w:rFonts w:ascii="IRNazanin" w:hAnsi="IRNazanin" w:eastAsia="IRNazanin"/>
          <w:color w:val="111111"/>
          <w:sz w:val="28"/>
          <w:sz w:val="28"/>
          <w:szCs w:val="28"/>
          <w:rtl w:val="true"/>
          <w:lang w:bidi="fa-IR"/>
        </w:rPr>
        <w:t>ایروانی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اطلاق شرط در دعای ندبه به اعتبار این است که در ضمن 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جزیل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0" w:name="__RefHeading___Toc939055_211673320"/>
      <w:bookmarkStart w:id="21" w:name="_Toc7"/>
      <w:bookmarkEnd w:id="20"/>
      <w:r>
        <w:rPr>
          <w:rtl w:val="true"/>
        </w:rPr>
        <w:t>ناقلان دعای ندبه‌</w:t>
      </w:r>
      <w:bookmarkEnd w:id="21"/>
    </w:p>
    <w:p>
      <w:pPr>
        <w:pStyle w:val="BookText"/>
        <w:rPr/>
      </w:pPr>
      <w:r>
        <w:rPr>
          <w:rFonts w:ascii="IRNazanin" w:hAnsi="IRNazanin" w:eastAsia="IRNazanin"/>
          <w:color w:val="111111"/>
          <w:sz w:val="28"/>
          <w:sz w:val="28"/>
          <w:szCs w:val="28"/>
          <w:rtl w:val="true"/>
          <w:lang w:bidi="fa-IR"/>
        </w:rPr>
        <w:t>دعای ندبه را عده‌ای از علما و محدثین نقل کرده‌اند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مشهدی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قره و او از کتاب ابی جعفر محمد بن الحسین بن سفیان بزوفری نقل کرده و آن را به امام زمان‌علیه السلام نسبت داده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اصحاب ما از محمّد بن علی بن ابی قرّه به نقل از کتاب محمّد بن حسین بن سفیان بزوفری نقل کرده و آن را به امام زمان‌علیه السلام نسبت داده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دعای ندبه که مشتمل بر عقاید حقّه و تأسّف بر غیبت قائم‌علیه السلام است، به سند معتبر از امام جعفر صادق‌علیه السلام نقل شده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این بزرگان، این دعا را شیخ جلیل ثقه ابوالفرج محمّد بن علی بن یعقوب بن اسحاق بن ابی قره قنانی که معاصر شیخ نجاشی و از اعلام قرن پنجم بوده،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شیخ محمّد بن 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زیاد نقل می‌کند</w:t>
      </w:r>
      <w:r>
        <w:rPr>
          <w:rFonts w:eastAsia="IRNazanin" w:cs="IRNazanin"/>
          <w:color w:val="111111"/>
          <w:sz w:val="28"/>
          <w:szCs w:val="28"/>
          <w:rtl w:val="true"/>
          <w:lang w:bidi="fa-IR"/>
        </w:rPr>
        <w:t>.</w:t>
      </w:r>
      <w:bookmarkStart w:id="22" w:name="pg126_585"/>
    </w:p>
    <w:p>
      <w:pPr>
        <w:pStyle w:val="BookText"/>
        <w:rPr/>
      </w:pPr>
      <w:bookmarkEnd w:id="2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شیخ جلیل ثقه ابو جعفر محمّد بن حسین بن سفیان بزوفری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مشایخ شیخ مفیدرحمه الله به حساب می‌آید مورد تأیید خاص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مشایخ شیخ مفید برشمرده و به وثاقت و جلالت قدر او شهادت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بروجردی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راه‌های شناخت رجال، شناخت شخصیت شاگردان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مشاهده شد که اشخاصی همچون شیخ مفیدرحمه الله از شخص معینی زیاد روایت نقل می‌کند و هرگز مذمّتی در حق او ندارد این به نوبه خود نشانه این است که آن شخص مورد وثوق و اطمینان است</w:t>
      </w:r>
      <w:r>
        <w:rPr>
          <w:rFonts w:eastAsia="IRNazanin" w:cs="IRNazanin"/>
          <w:color w:val="111111"/>
          <w:sz w:val="28"/>
          <w:szCs w:val="28"/>
          <w:rtl w:val="true"/>
          <w:lang w:bidi="fa-IR"/>
        </w:rPr>
        <w:t>».</w:t>
      </w:r>
    </w:p>
    <w:p>
      <w:pPr>
        <w:pStyle w:val="Heading2"/>
        <w:numPr>
          <w:ilvl w:val="1"/>
          <w:numId w:val="1"/>
        </w:numPr>
        <w:rPr/>
      </w:pPr>
      <w:bookmarkStart w:id="23" w:name="__RefHeading___Toc939057_211673320"/>
      <w:bookmarkStart w:id="24" w:name="_Toc8"/>
      <w:bookmarkEnd w:id="23"/>
      <w:r>
        <w:rPr>
          <w:rtl w:val="true"/>
        </w:rPr>
        <w:t>راوی دعای ندبه‌</w:t>
      </w:r>
      <w:bookmarkEnd w:id="24"/>
    </w:p>
    <w:p>
      <w:pPr>
        <w:pStyle w:val="BookText"/>
        <w:rPr/>
      </w:pPr>
      <w:r>
        <w:rPr>
          <w:rFonts w:ascii="IRNazanin" w:hAnsi="IRNazanin" w:eastAsia="IRNazanin"/>
          <w:color w:val="111111"/>
          <w:sz w:val="28"/>
          <w:sz w:val="28"/>
          <w:szCs w:val="28"/>
          <w:rtl w:val="true"/>
          <w:lang w:bidi="fa-IR"/>
        </w:rPr>
        <w:t>کسی ادّعا نکرده که بزوفری این دعا را بدون واسطه از امام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لازم است هر کسی که روایتی را از امام نقل می‌کند معاصر با امام باشد؟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اطمینان داریم که این دعا یا با سند در کتاب بزوفری روایت شده ولی دیگران که از آن کتاب نقل کرده‌اند از باب مسامحه آن سند را حذف کرده‌اند، و یا این‌که بزوفری از آنجا که دعا را معروف و مشهور دیده احتیاجی به ذکر سند ندیده است؛ زیرا همان گونه که در این زمان معروف و مشهور است، در عصرهای گذشته 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متن آن با آیات قرآن و روایات دیگر سازگاری تمام دارد</w:t>
      </w:r>
      <w:r>
        <w:rPr>
          <w:rFonts w:eastAsia="IRNazanin" w:cs="IRNazanin"/>
          <w:color w:val="111111"/>
          <w:sz w:val="28"/>
          <w:szCs w:val="28"/>
          <w:rtl w:val="true"/>
          <w:lang w:bidi="fa-IR"/>
        </w:rPr>
        <w:t>.</w:t>
      </w:r>
      <w:bookmarkStart w:id="25" w:name="pg126_587"/>
    </w:p>
    <w:p>
      <w:pPr>
        <w:pStyle w:val="Heading2"/>
        <w:numPr>
          <w:ilvl w:val="1"/>
          <w:numId w:val="1"/>
        </w:numPr>
        <w:rPr/>
      </w:pPr>
      <w:bookmarkStart w:id="26" w:name="__RefHeading___Toc939059_211673320"/>
      <w:bookmarkStart w:id="27" w:name="_Toc9"/>
      <w:bookmarkEnd w:id="25"/>
      <w:bookmarkEnd w:id="26"/>
      <w:r>
        <w:rPr>
          <w:rtl w:val="true"/>
        </w:rPr>
        <w:t>«</w:t>
      </w:r>
      <w:r>
        <w:rPr>
          <w:rtl w:val="true"/>
        </w:rPr>
        <w:t>محمّد بن مشهدی</w:t>
      </w:r>
      <w:r>
        <w:rPr>
          <w:rtl w:val="true"/>
        </w:rPr>
        <w:t xml:space="preserve">» </w:t>
      </w:r>
      <w:r>
        <w:rPr>
          <w:rtl w:val="true"/>
        </w:rPr>
        <w:t>راوی با واسطه دعای ندبه‌</w:t>
      </w:r>
      <w:bookmarkEnd w:id="27"/>
    </w:p>
    <w:p>
      <w:pPr>
        <w:pStyle w:val="BookText"/>
        <w:rPr/>
      </w:pPr>
      <w:r>
        <w:rPr>
          <w:rFonts w:ascii="IRNazanin" w:hAnsi="IRNazanin" w:eastAsia="IRNazanin"/>
          <w:color w:val="111111"/>
          <w:sz w:val="28"/>
          <w:sz w:val="28"/>
          <w:szCs w:val="28"/>
          <w:rtl w:val="true"/>
          <w:lang w:bidi="fa-IR"/>
        </w:rPr>
        <w:t>از کلمات آیت اللَّه خویی رحمه الله به نقل از شیخ حرّ عاملی به دست می‌آید که مراد از محمّد بن مشهدی، محمّد بن علی بن جعفر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ولی مرحوم حاجی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محمّد بن مشهدی، محمد بن جعفر بن علی بن جعفر مشهدی است که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راویان ابی الفضل شاذان بن جبرئیل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با دو واسطه از شیخ مفید روایت نقل می‌کند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هر حال او هر که باشد شخصی قابل اعتماد و مورد وثوق و جلیل القدر است که توصیف و مدح وی در کتب رجال آمده است</w:t>
      </w:r>
      <w:r>
        <w:rPr>
          <w:rFonts w:eastAsia="IRNazanin" w:cs="IRNazanin"/>
          <w:color w:val="111111"/>
          <w:sz w:val="28"/>
          <w:szCs w:val="28"/>
          <w:rtl w:val="true"/>
          <w:lang w:bidi="fa-IR"/>
        </w:rPr>
        <w:t>.</w:t>
      </w:r>
    </w:p>
    <w:p>
      <w:pPr>
        <w:pStyle w:val="Heading2"/>
        <w:numPr>
          <w:ilvl w:val="1"/>
          <w:numId w:val="1"/>
        </w:numPr>
        <w:rPr/>
      </w:pPr>
      <w:bookmarkStart w:id="28" w:name="__RefHeading___Toc939061_211673320"/>
      <w:bookmarkStart w:id="29" w:name="_Toc10"/>
      <w:bookmarkEnd w:id="28"/>
      <w:r>
        <w:rPr>
          <w:rtl w:val="true"/>
        </w:rPr>
        <w:t>«</w:t>
      </w:r>
      <w:r>
        <w:rPr>
          <w:rtl w:val="true"/>
        </w:rPr>
        <w:t>محمّد بن علی بن ابی قرّه</w:t>
      </w:r>
      <w:r>
        <w:rPr>
          <w:rtl w:val="true"/>
        </w:rPr>
        <w:t xml:space="preserve">» </w:t>
      </w:r>
      <w:r>
        <w:rPr>
          <w:rtl w:val="true"/>
        </w:rPr>
        <w:t>راوی دیگر دعای ندبه‌</w:t>
      </w:r>
      <w:bookmarkEnd w:id="29"/>
    </w:p>
    <w:p>
      <w:pPr>
        <w:pStyle w:val="BookText"/>
        <w:rPr/>
      </w:pPr>
      <w:r>
        <w:rPr>
          <w:rFonts w:ascii="IRNazanin" w:hAnsi="IRNazanin" w:eastAsia="IRNazanin"/>
          <w:color w:val="111111"/>
          <w:sz w:val="28"/>
          <w:sz w:val="28"/>
          <w:szCs w:val="28"/>
          <w:rtl w:val="true"/>
          <w:lang w:bidi="fa-IR"/>
        </w:rPr>
        <w:t>او از جمله راویان صاحب کتاب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ثقه بوده و روایات فراوانی شنیده و کتاب‌های بسیاری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بود که کتاب‌ها را ورق به ورق برای اصحاب امامیه می‌خواند و همواره در مجالس با ما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نجاشی اجازه نقل کتاب‌های ابن ابی‌قرّه را از وی داشته است لذا می‌توان او را از مشایخ اجازه مرحوم نجاشی دانست</w:t>
      </w:r>
      <w:r>
        <w:rPr>
          <w:rFonts w:eastAsia="IRNazanin" w:cs="IRNazanin"/>
          <w:color w:val="111111"/>
          <w:sz w:val="28"/>
          <w:szCs w:val="28"/>
          <w:rtl w:val="true"/>
          <w:lang w:bidi="fa-IR"/>
        </w:rPr>
        <w:t>.</w:t>
      </w:r>
      <w:bookmarkStart w:id="30" w:name="pg126_589"/>
    </w:p>
    <w:p>
      <w:pPr>
        <w:pStyle w:val="BookText"/>
        <w:rPr/>
      </w:pPr>
      <w:bookmarkEnd w:id="30"/>
      <w:r>
        <w:rPr>
          <w:rFonts w:ascii="IRNazanin" w:hAnsi="IRNazanin" w:eastAsia="IRNazanin"/>
          <w:color w:val="111111"/>
          <w:sz w:val="28"/>
          <w:sz w:val="28"/>
          <w:szCs w:val="28"/>
          <w:rtl w:val="true"/>
          <w:lang w:bidi="fa-IR"/>
        </w:rPr>
        <w:t>از آنجا که محمّد بن جعفر مشهدی معاصر محمّد بن ابی‌قره نبوده است لذا می‌توان آن را این گونه توجیه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مشهدی معمّر بوده و لذا محمّد بن ابی‌قره را درک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خبر ارسال دارد ولی ابن مشهدی به نقلش از محمّد بن ابی‌قره یقین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مشهدی دعا را از کتاب مزار ابن ابی‌قره نقل کرده است، زیرا مطابق نقل صاحب ریاض ابن ابی‌قره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Heading2"/>
        <w:numPr>
          <w:ilvl w:val="1"/>
          <w:numId w:val="1"/>
        </w:numPr>
        <w:rPr/>
      </w:pPr>
      <w:bookmarkStart w:id="31" w:name="__RefHeading___Toc939063_211673320"/>
      <w:bookmarkStart w:id="32" w:name="_Toc11"/>
      <w:bookmarkEnd w:id="31"/>
      <w:r>
        <w:rPr>
          <w:rtl w:val="true"/>
        </w:rPr>
        <w:t>توثیق ابن مشهدی‌</w:t>
      </w:r>
      <w:bookmarkEnd w:id="32"/>
    </w:p>
    <w:p>
      <w:pPr>
        <w:pStyle w:val="BookText"/>
        <w:rPr/>
      </w:pPr>
      <w:r>
        <w:rPr>
          <w:rFonts w:ascii="IRNazanin" w:hAnsi="IRNazanin" w:eastAsia="IRNazanin"/>
          <w:color w:val="111111"/>
          <w:sz w:val="28"/>
          <w:sz w:val="28"/>
          <w:szCs w:val="28"/>
          <w:rtl w:val="true"/>
          <w:lang w:bidi="fa-IR"/>
        </w:rPr>
        <w:t>او از شاگردان احمد بن ادریس به شمار آمده و از او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شیخ مفید از او روایت نقل کرده می‌توان او را از مشایخ شیخ مفید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وی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پیرامون بزوفری در کتب رجال توثیق خاصی وارد نشده است، ولی از آنجا که از مشایخ روایی شیخ مفید بوده و در موارد زیادی برای وی رضا و رحمت خداوند را طلب کرده است، می‌توان بدون تردید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توثیق عام، شامل حال وی می‌گردد</w:t>
      </w:r>
      <w:r>
        <w:rPr>
          <w:rFonts w:eastAsia="IRNazanin" w:cs="IRNazanin"/>
          <w:color w:val="111111"/>
          <w:sz w:val="28"/>
          <w:szCs w:val="28"/>
          <w:rtl w:val="true"/>
          <w:lang w:bidi="fa-IR"/>
        </w:rPr>
        <w:t>.</w:t>
      </w:r>
    </w:p>
    <w:p>
      <w:pPr>
        <w:pStyle w:val="Heading2"/>
        <w:numPr>
          <w:ilvl w:val="1"/>
          <w:numId w:val="1"/>
        </w:numPr>
        <w:rPr/>
      </w:pPr>
      <w:bookmarkStart w:id="33" w:name="__RefHeading___Toc939065_211673320"/>
      <w:bookmarkStart w:id="34" w:name="_Toc12"/>
      <w:bookmarkEnd w:id="33"/>
      <w:r>
        <w:rPr>
          <w:rtl w:val="true"/>
        </w:rPr>
        <w:t>دعای ندبه از کدامین امام است؟</w:t>
      </w:r>
      <w:bookmarkEnd w:id="3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دعا از جانب امام صادق‌علیه السلام انشا شده است، همان گونه که مرحوم مجلسی به آن حضرت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در برخی از</w:t>
      </w:r>
    </w:p>
    <w:p>
      <w:pPr>
        <w:pStyle w:val="BookText"/>
        <w:rPr/>
      </w:pPr>
      <w:r>
        <w:rPr>
          <w:rFonts w:ascii="IRNazanin" w:hAnsi="IRNazanin" w:eastAsia="IRNazanin"/>
          <w:color w:val="111111"/>
          <w:sz w:val="28"/>
          <w:sz w:val="28"/>
          <w:szCs w:val="28"/>
          <w:rtl w:val="true"/>
          <w:lang w:bidi="fa-IR"/>
        </w:rPr>
        <w:t>مصادر این گونه آمده که این دعا برای صاحب الزمان است، ممکن است این گونه توجیه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دعایی است که برای وجود مقدس امام زمان‌علیه السلام انشا شده است نه این‌که این دعا از طرف آن حضرت انشا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برخی خواسته‌اند احتمال اوّل را به خاطر ناسازگاری برخی از مضامین دعا، با صدور آن از جانب امام صادق‌علیه السلام مردود سازند، ولی برای اهل تحقیق روشن است که این اشکالات قابل توجیه است، زیرا نظیر چنین مضامینی در موارد دیگر از امام صادق‌علیه السلام و دیگر ائمه‌علیهم السلام نیز نقل شده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نیز احتمال دارد که بزوفری از پدرش حسین بن علی بن سفیان که از علما و راویان بزرگ قرن چهارم که هم عصر و زمان غیبت صغرا بوده نقل کرده و او هم به وسیله نواب اربعه از راه مکاتبه و توقیع با امام زمان‌علیه السلام در ارتباط بوده و این دعا را در کتاب خود آورده و سپس به دست فرزندش ابوجعفر بزوفری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اشکال کنند که این دعا انشای برخی از علمای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از جهاتی باطل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بزوفری در ادامه روایت این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یدعی به فی الأعیاد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کلمه می‌رساند که این دعا از جانب معصوم صادر شده است، زیرا محکوم کردن هریک از افعال و اذکار به هریک از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حرمت، استحباب،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توقیفی است که فقط باید از جانب اولیای معصوم خداوند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برای قرائت این دعا زمان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اعیاد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خود دلیل بر آن است که از جانب معصوم صادر شده است؛ زیرا در غیر این صورت نمی‌تواند از چنین ویژگی خاصی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رسم علما چنین بوده که هرگاه دعا یا زیارتی را خود انشا می‌کردند متذکر می‌شدند تا بر مردم مشتبه نگردد، 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را برای فاطمه زهراعلیها السلام که از انشاهای خود اوست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سفر حج در مدینه در کنار قبر فاطمه زهراعلیها السلام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به این صورت در اخبار نیافتم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 است درباره آنچه آن را ذکر می‌کنیم از دعایی که آن را انشا کردیم، آن را هنگام تناول طعام ذکر می‌کنیم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آنچه هنگام رؤیت هلال شوّال گفته می‌شود ما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دعایی که انشا کردیم آوردیم، و این دعا صلاحیت برای تمام ماه‌ها را دارد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موارد دیگر نیز در مورد ادعیه‌ای که خود انشا کرده چنین تعبیراتی آورده است</w:t>
      </w:r>
      <w:r>
        <w:rPr>
          <w:rFonts w:eastAsia="IRNazanin" w:cs="IRNazanin"/>
          <w:color w:val="111111"/>
          <w:sz w:val="28"/>
          <w:szCs w:val="28"/>
          <w:rtl w:val="true"/>
          <w:lang w:bidi="fa-IR"/>
        </w:rPr>
        <w:t>.</w:t>
      </w:r>
      <w:r>
        <w:rPr>
          <w:rStyle w:val="FootnoteAnchor"/>
          <w:rtl w:val="true"/>
        </w:rPr>
        <w:footnoteReference w:id="18"/>
      </w:r>
      <w:bookmarkStart w:id="35" w:name="pg126_595"/>
    </w:p>
    <w:p>
      <w:pPr>
        <w:pStyle w:val="BookText"/>
        <w:rPr/>
      </w:pPr>
      <w:bookmarkEnd w:id="3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مشهدی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کتاب خود از فنون زیارات، اخباری را جمع کردم که به واسطه راویان ثقه و مورد اعتماد به سادات متصل شده‌اند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الدعاء لصاحب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انشا از امام زمان‌علیه السلام بدانیم می‌توانیم آن را از توقیعات حضرت به بزوفری بدانیم</w:t>
      </w:r>
      <w:r>
        <w:rPr>
          <w:rFonts w:eastAsia="IRNazanin" w:cs="IRNazanin"/>
          <w:color w:val="111111"/>
          <w:sz w:val="28"/>
          <w:szCs w:val="28"/>
          <w:rtl w:val="true"/>
          <w:lang w:bidi="fa-IR"/>
        </w:rPr>
        <w:t>.</w:t>
      </w:r>
    </w:p>
    <w:p>
      <w:pPr>
        <w:pStyle w:val="Heading2"/>
        <w:numPr>
          <w:ilvl w:val="1"/>
          <w:numId w:val="1"/>
        </w:numPr>
        <w:rPr/>
      </w:pPr>
      <w:bookmarkStart w:id="36" w:name="__RefHeading___Toc939067_211673320"/>
      <w:bookmarkStart w:id="37" w:name="_Toc13"/>
      <w:bookmarkEnd w:id="36"/>
      <w:r>
        <w:rPr>
          <w:rtl w:val="true"/>
        </w:rPr>
        <w:t>ارتباط امام زمان‌علیه السلام با کوه رَضْوی و ذی طوی‌</w:t>
      </w:r>
      <w:bookmarkEnd w:id="37"/>
    </w:p>
    <w:p>
      <w:pPr>
        <w:pStyle w:val="BookText"/>
        <w:rPr/>
      </w:pPr>
      <w:r>
        <w:rPr>
          <w:rFonts w:ascii="IRNazanin" w:hAnsi="IRNazanin" w:eastAsia="IRNazanin"/>
          <w:color w:val="111111"/>
          <w:sz w:val="28"/>
          <w:sz w:val="28"/>
          <w:szCs w:val="28"/>
          <w:rtl w:val="true"/>
          <w:lang w:bidi="fa-IR"/>
        </w:rPr>
        <w:t>امام زمان‌علیه السلام در عصر غیبت کبرا مکان خاصی ندارد، نه در کوه رضوی مخفی است و نه در ذی طوی و نه در سرداب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از فرقه‌های کیسانیه که منقرض شده‌اند معتقد بودند که محمّد بن حنفیه در کوه رَضْوی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ارتباطی با این دو کوه و امام زمان‌علیه السلام وجود دارد که در دعای ندبه به آن اشاره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اشکال باید بدانیم که رضوی و ذی طوی چه مکانی است؛</w:t>
      </w:r>
    </w:p>
    <w:p>
      <w:pPr>
        <w:pStyle w:val="BookText"/>
        <w:rPr/>
      </w:pPr>
      <w:r>
        <w:rPr>
          <w:rFonts w:ascii="IRNazanin" w:hAnsi="IRNazanin" w:eastAsia="IRNazanin"/>
          <w:color w:val="111111"/>
          <w:sz w:val="28"/>
          <w:sz w:val="28"/>
          <w:szCs w:val="28"/>
          <w:rtl w:val="true"/>
          <w:lang w:bidi="fa-IR"/>
        </w:rPr>
        <w:t>ذی طوی اسم مکانی است داخل حرم که حدود یک فرسخ تا مکه فاصله دارد، و از آنجا خانه‌های مکه پیداست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رَضْوی کوهی از کوه‌های مدینه منوّره است در نزدیکی ینبُع، که فاصله بین آن کوه تا مدینه چهل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فضیلت آن کوه روایاتی وارد شده است</w:t>
      </w:r>
      <w:r>
        <w:rPr>
          <w:rFonts w:eastAsia="IRNazanin" w:cs="IRNazanin"/>
          <w:color w:val="111111"/>
          <w:sz w:val="28"/>
          <w:szCs w:val="28"/>
          <w:rtl w:val="true"/>
          <w:lang w:bidi="fa-IR"/>
        </w:rPr>
        <w:t>.</w:t>
      </w:r>
      <w:bookmarkStart w:id="38" w:name="pg126_596"/>
    </w:p>
    <w:p>
      <w:pPr>
        <w:pStyle w:val="BookText"/>
        <w:rPr/>
      </w:pPr>
      <w:bookmarkEnd w:id="38"/>
      <w:r>
        <w:rPr>
          <w:rFonts w:ascii="IRNazanin" w:hAnsi="IRNazanin" w:eastAsia="IRNazanin"/>
          <w:color w:val="111111"/>
          <w:sz w:val="28"/>
          <w:sz w:val="28"/>
          <w:szCs w:val="28"/>
          <w:rtl w:val="true"/>
          <w:lang w:bidi="fa-IR"/>
        </w:rPr>
        <w:t>در جواب سؤال فوق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معتقدیم که حضرت‌علیه السلام مکان معینی در عصر غیبت ندارد و روایات و ادعیه این مطلب را تأیید می‌کند، ولی این جمله به معنای آن نیست که حضرت در کوه رَضْوی یا در منطقه ذی‌طوی مخفی است، بلکه معنایی کنایی دارد به این معنا که برای حضرت هیچ مکان معینی نیست، و لذا این جمله هیچ ارتباطی با عقیده کیسانیه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این دو مکان به طور خصوص در این دعا ذکر شده، به جهت تقدّس و تبرّک این دو مکان است، و ثابت شده که حضرت‌علیه السلام در این دو مکان زیاد تردّد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در ذکر این منطقه اشاره به این نکته باشد که حتّی این دو موضع که مورد اهتمام کیسانیه است تحت تصرّف امام مهدی‌علیه السلام و محلّ تردّد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مقصود از ذی طوی مکّه مکرّمه و رَضْوی مدینه منورّه باشد، آن 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Heading2"/>
        <w:numPr>
          <w:ilvl w:val="1"/>
          <w:numId w:val="1"/>
        </w:numPr>
        <w:rPr/>
      </w:pPr>
      <w:bookmarkStart w:id="39" w:name="__RefHeading___Toc939069_211673320"/>
      <w:bookmarkStart w:id="40" w:name="_Toc14"/>
      <w:bookmarkEnd w:id="39"/>
      <w:r>
        <w:rPr>
          <w:rtl w:val="true"/>
        </w:rPr>
        <w:t>عدم تصریح به نام تمام امامان‌</w:t>
      </w:r>
      <w:bookmarkEnd w:id="40"/>
    </w:p>
    <w:p>
      <w:pPr>
        <w:pStyle w:val="BookText"/>
        <w:rPr/>
      </w:pPr>
      <w:r>
        <w:rPr>
          <w:rFonts w:ascii="IRNazanin" w:hAnsi="IRNazanin" w:eastAsia="IRNazanin"/>
          <w:color w:val="111111"/>
          <w:sz w:val="28"/>
          <w:sz w:val="28"/>
          <w:szCs w:val="28"/>
          <w:rtl w:val="true"/>
          <w:lang w:bidi="fa-IR"/>
        </w:rPr>
        <w:t>گاهی گفته می‌شود چرا اسامی تمام امامان در این دعا ذکر نشده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نشدن به اسامی و عدد دوازده امام از قوّت متن آن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گرچه تصریح به نام هر یک از آن‌ها نشده ولی به طور کلّی و اجمالی به مصائبی که آن‌ها در راه هدایت خلق متحمّل شده‌اند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یمتثل أمر رسول اللَّه‌صلی الله علیه وآله فی الهادین بعد الهادین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من قتل وسُبی من سُبی وأُقصی من أُقصی</w:t>
      </w:r>
      <w:r>
        <w:rPr>
          <w:rFonts w:eastAsia="IRNazanin" w:cs="IRNazanin"/>
          <w:color w:val="111111"/>
          <w:sz w:val="28"/>
          <w:szCs w:val="28"/>
          <w:rtl w:val="true"/>
          <w:lang w:bidi="fa-IR"/>
        </w:rPr>
        <w:t>».</w:t>
      </w:r>
      <w:bookmarkStart w:id="41" w:name="pg126_598"/>
    </w:p>
    <w:p>
      <w:pPr>
        <w:pStyle w:val="BookText"/>
        <w:rPr/>
      </w:pPr>
      <w:bookmarkEnd w:id="41"/>
      <w:r>
        <w:rPr>
          <w:rFonts w:ascii="IRNazanin" w:hAnsi="IRNazanin" w:eastAsia="IRNazanin"/>
          <w:color w:val="111111"/>
          <w:sz w:val="28"/>
          <w:sz w:val="28"/>
          <w:szCs w:val="28"/>
          <w:rtl w:val="true"/>
          <w:lang w:bidi="fa-IR"/>
        </w:rPr>
        <w:t>این عبارات اشاره به مصائبی دارد که هر یک از امامان در راه هدایت خلق متحمّل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الحسن أین الحسین، أین أبنآء الحسین</w:t>
      </w:r>
      <w:r>
        <w:rPr>
          <w:rFonts w:eastAsia="IRNazanin" w:cs="IRNazanin"/>
          <w:color w:val="111111"/>
          <w:sz w:val="28"/>
          <w:szCs w:val="28"/>
          <w:rtl w:val="true"/>
          <w:lang w:bidi="fa-IR"/>
        </w:rPr>
        <w:t>...».</w:t>
      </w:r>
    </w:p>
    <w:p>
      <w:pPr>
        <w:pStyle w:val="Heading2"/>
        <w:numPr>
          <w:ilvl w:val="1"/>
          <w:numId w:val="1"/>
        </w:numPr>
        <w:rPr/>
      </w:pPr>
      <w:bookmarkStart w:id="42" w:name="__RefHeading___Toc939071_211673320"/>
      <w:bookmarkStart w:id="43" w:name="_Toc15"/>
      <w:bookmarkEnd w:id="42"/>
      <w:r>
        <w:rPr>
          <w:rtl w:val="true"/>
        </w:rPr>
        <w:t>مخالفت با معراج جسمانی‌</w:t>
      </w:r>
      <w:bookmarkEnd w:id="4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بروحه إلی سمآئک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دعای ندبه آمده مخالف با اجماع و آیات و روایاتی است که دلالت بر معراج جسمانی دارد، لذا از این جهت درصدد برآمده‌اند تا در انتساب این دعا به امام خدشه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در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عرجت به إلی سمآئک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دلالت بر معراج روحانی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چند قرینه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که من از مزار محمّد بن مشهدی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عرجت به إلی سمآئک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قمی‌رحمه الله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استاد خود حاجی نوری را نقل کرده و آن را تأیید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نیز نسخه‌ای خطّی و نفیس از کتاب مزار محمّد بن مشهدی موجود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جمله‌های دیگر در دعا نیز مؤیّد معراج جسمانی است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وأوطأته مشارقک ومغاربک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سخّرت له البراق</w:t>
      </w:r>
      <w:r>
        <w:rPr>
          <w:rFonts w:eastAsia="IRNazanin" w:cs="IRNazanin"/>
          <w:color w:val="111111"/>
          <w:sz w:val="28"/>
          <w:szCs w:val="28"/>
          <w:rtl w:val="true"/>
          <w:lang w:bidi="fa-IR"/>
        </w:rPr>
        <w:t>».</w:t>
      </w:r>
      <w:bookmarkStart w:id="44" w:name="pg126_600"/>
    </w:p>
    <w:p>
      <w:pPr>
        <w:pStyle w:val="BookText"/>
        <w:rPr/>
      </w:pPr>
      <w:bookmarkEnd w:id="4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صحّت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بر معاد روحانی فقط ندارد، از باب استخدام لفظ موضوع برای جزء و اراده کلّ، مقصود معراج جسمانی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لک الفدآء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ابوالفضل تهرانی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کلمه روح را در معنای جسم با روح به کار می‌برند به جهت ارتباط بین حالّ و محلّ یا علاقه ملابست که بین آن دو است</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45" w:name="__RefHeading___Toc939073_211673320"/>
      <w:bookmarkStart w:id="46" w:name="_Toc16"/>
      <w:bookmarkEnd w:id="45"/>
      <w:r>
        <w:rPr>
          <w:rtl w:val="true"/>
        </w:rPr>
        <w:t>تألیفات درباره دعای ندبه‌</w:t>
      </w:r>
      <w:bookmarkEnd w:id="46"/>
    </w:p>
    <w:p>
      <w:pPr>
        <w:pStyle w:val="BookText"/>
        <w:rPr/>
      </w:pPr>
      <w:r>
        <w:rPr>
          <w:rFonts w:ascii="IRNazanin" w:hAnsi="IRNazanin" w:eastAsia="IRNazanin"/>
          <w:color w:val="111111"/>
          <w:sz w:val="28"/>
          <w:sz w:val="28"/>
          <w:szCs w:val="28"/>
          <w:rtl w:val="true"/>
          <w:lang w:bidi="fa-IR"/>
        </w:rPr>
        <w:t>دانشمندان و محققان این دعای شریف را مورد توجه خود قرار داده و بر آن شروح و حواشی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صدرالدین محمد حسنی مدرس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الجمان لندبة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عبدالرحیم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وسیلة القربة فی شرح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علی 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حسن تربتی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النخبة فی شرح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محمود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یا ترجمه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سردار کابلی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القربة فی شرح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ارموی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وظائف الشیعة فی شرح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ادیب اصفهانی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الکربة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ارموی</w:t>
      </w:r>
      <w:r>
        <w:rPr>
          <w:rFonts w:eastAsia="IRNazanin" w:cs="IRNazanin"/>
          <w:color w:val="111111"/>
          <w:sz w:val="28"/>
          <w:szCs w:val="28"/>
          <w:rtl w:val="true"/>
          <w:lang w:bidi="fa-IR"/>
        </w:rPr>
        <w:t>.</w:t>
      </w:r>
      <w:bookmarkStart w:id="47" w:name="pg126_602"/>
    </w:p>
    <w:p>
      <w:pPr>
        <w:pStyle w:val="BookText"/>
        <w:rPr/>
      </w:pPr>
      <w:bookmarkEnd w:id="47"/>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نوید بامداد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موسوی خرم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ترجمه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عبدالرضا خان ابراهیمی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الکلمات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حول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تقی 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حول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میرجهانی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یاسین الموسوی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شرحی بر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علوی 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شروح و رساله‌ها در رابطه با دعای ندبه</w:t>
      </w:r>
      <w:r>
        <w:rPr>
          <w:rFonts w:eastAsia="IRNazanin" w:cs="IRNazanin"/>
          <w:color w:val="111111"/>
          <w:sz w:val="28"/>
          <w:szCs w:val="28"/>
          <w:rtl w:val="true"/>
          <w:lang w:bidi="fa-IR"/>
        </w:rPr>
        <w:t>.</w:t>
      </w:r>
    </w:p>
    <w:p>
      <w:pPr>
        <w:pStyle w:val="Heading2"/>
        <w:numPr>
          <w:ilvl w:val="1"/>
          <w:numId w:val="1"/>
        </w:numPr>
        <w:rPr/>
      </w:pPr>
      <w:bookmarkStart w:id="48" w:name="__RefHeading___Toc939075_211673320"/>
      <w:bookmarkStart w:id="49" w:name="_Toc17"/>
      <w:bookmarkEnd w:id="48"/>
      <w:r>
        <w:rPr>
          <w:rtl w:val="true"/>
        </w:rPr>
        <w:t>دعاهای دیگر در عصر غیبت‌</w:t>
      </w:r>
      <w:bookmarkEnd w:id="49"/>
    </w:p>
    <w:p>
      <w:pPr>
        <w:pStyle w:val="BookText"/>
        <w:rPr/>
      </w:pPr>
      <w:r>
        <w:rPr>
          <w:rFonts w:ascii="IRNazanin" w:hAnsi="IRNazanin" w:eastAsia="IRNazanin"/>
          <w:color w:val="111111"/>
          <w:sz w:val="28"/>
          <w:sz w:val="28"/>
          <w:szCs w:val="28"/>
          <w:rtl w:val="true"/>
          <w:lang w:bidi="fa-IR"/>
        </w:rPr>
        <w:t>ادعیه درباره امام زمان‌علیه السلام بسیار است، که می‌توان به برخی از آن‌ها فهرست‌وار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دعایی از امام صادق‌علیه السلام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غریق</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بعد از هر فریضه در ماه رمضان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عهد صغیر</w:t>
      </w:r>
      <w:r>
        <w:rPr>
          <w:rFonts w:eastAsia="IRNazanin" w:cs="IRNazanin"/>
          <w:color w:val="111111"/>
          <w:sz w:val="28"/>
          <w:szCs w:val="28"/>
          <w:rtl w:val="true"/>
          <w:lang w:bidi="fa-IR"/>
        </w:rPr>
        <w:t>.</w:t>
      </w:r>
      <w:r>
        <w:rPr>
          <w:rStyle w:val="FootnoteAnchor"/>
          <w:rtl w:val="true"/>
        </w:rPr>
        <w:footnoteReference w:id="25"/>
      </w:r>
      <w:bookmarkStart w:id="50" w:name="pg126_604"/>
    </w:p>
    <w:p>
      <w:pPr>
        <w:pStyle w:val="BookText"/>
        <w:rPr/>
      </w:pPr>
      <w:bookmarkEnd w:id="5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بعد از نماز ظهر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بعد از نماز عصر</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شب نیمه شعبان</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51" w:name="__RefHeading___Toc939077_211673320"/>
      <w:bookmarkStart w:id="52" w:name="_Toc18"/>
      <w:bookmarkEnd w:id="51"/>
      <w:r>
        <w:rPr>
          <w:rtl w:val="true"/>
        </w:rPr>
        <w:t>مکان‌های سفارش شده برای دعا در عصر غیبت‌</w:t>
      </w:r>
      <w:bookmarkEnd w:id="52"/>
    </w:p>
    <w:p>
      <w:pPr>
        <w:pStyle w:val="BookText"/>
        <w:rPr/>
      </w:pPr>
      <w:r>
        <w:rPr>
          <w:rFonts w:ascii="IRNazanin" w:hAnsi="IRNazanin" w:eastAsia="IRNazanin"/>
          <w:color w:val="111111"/>
          <w:sz w:val="28"/>
          <w:sz w:val="28"/>
          <w:szCs w:val="28"/>
          <w:rtl w:val="true"/>
          <w:lang w:bidi="fa-IR"/>
        </w:rPr>
        <w:t>مطابق روایات در برخی از مکان‌های مقدس سفارش خاص به جهت دعا برای امام زمان‌علیه السلام شده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سرداب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مقامات منسوب به حضرت از قبیل مسجد کوفه، مسجد سهله، مسجد صعصعه و مسجد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امام حسین‌علیه السلام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امام رضاعلیه السلام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عسکریین‌علیهما السلام در سامرا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هریک از امامان به طور عموم</w:t>
      </w:r>
      <w:r>
        <w:rPr>
          <w:rFonts w:eastAsia="IRNazanin" w:cs="IRNazanin"/>
          <w:color w:val="111111"/>
          <w:sz w:val="28"/>
          <w:szCs w:val="28"/>
          <w:rtl w:val="true"/>
          <w:lang w:bidi="fa-IR"/>
        </w:rPr>
        <w:t>.</w:t>
      </w:r>
      <w:r>
        <w:rPr>
          <w:rStyle w:val="FootnoteAnchor"/>
          <w:rtl w:val="true"/>
        </w:rPr>
        <w:footnoteReference w:id="3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عرفات در محل وقوف</w:t>
      </w:r>
      <w:r>
        <w:rPr>
          <w:rFonts w:eastAsia="IRNazanin" w:cs="IRNazanin"/>
          <w:color w:val="111111"/>
          <w:sz w:val="28"/>
          <w:szCs w:val="28"/>
          <w:rtl w:val="true"/>
          <w:lang w:bidi="fa-IR"/>
        </w:rPr>
        <w:t>.</w:t>
      </w:r>
      <w:r>
        <w:rPr>
          <w:rStyle w:val="FootnoteAnchor"/>
          <w:rtl w:val="true"/>
        </w:rPr>
        <w:footnoteReference w:id="35"/>
      </w:r>
      <w:bookmarkStart w:id="53" w:name="pg126_606"/>
    </w:p>
    <w:p>
      <w:pPr>
        <w:pStyle w:val="Heading2"/>
        <w:numPr>
          <w:ilvl w:val="1"/>
          <w:numId w:val="1"/>
        </w:numPr>
        <w:rPr/>
      </w:pPr>
      <w:bookmarkStart w:id="54" w:name="__RefHeading___Toc939079_211673320"/>
      <w:bookmarkStart w:id="55" w:name="_Toc19"/>
      <w:bookmarkEnd w:id="53"/>
      <w:bookmarkEnd w:id="54"/>
      <w:r>
        <w:rPr>
          <w:rtl w:val="true"/>
        </w:rPr>
        <w:t>فلسفه توسّل به امام زمان‌علیه السلام‌</w:t>
      </w:r>
      <w:bookmarkEnd w:id="55"/>
    </w:p>
    <w:p>
      <w:pPr>
        <w:pStyle w:val="BookText"/>
        <w:rPr/>
      </w:pPr>
      <w:r>
        <w:rPr>
          <w:rFonts w:ascii="IRNazanin" w:hAnsi="IRNazanin" w:eastAsia="IRNazanin"/>
          <w:color w:val="111111"/>
          <w:sz w:val="28"/>
          <w:sz w:val="28"/>
          <w:szCs w:val="28"/>
          <w:rtl w:val="true"/>
          <w:lang w:bidi="fa-IR"/>
        </w:rPr>
        <w:t>توسل، وسیله و واسطه قرار دادن چیزی بین خود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امور مادّی است، مثل آب و غذا که وسیله رفع تشنگی و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نیز از امور معنوی است، مثل گناه‌کاری که خدا را به مقام و جاه یا حقیقت پیامبرصلی الله علیه وآله قسم می‌دهد تا از گناهش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وسیله لازم است؛ زیرا خداوند متعال جهان آفرینش را به بهترین صورت آفریده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همه چیز را به بهترین صورت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براساس نظم علت و معلول و اسباب و مسببات، برای هدایت و رشد و تکامل انسان‌ها آفریده شده است و نیازمندی‌های طبیعی بشر با عوامل و اسباب عادی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فیوضات معنوی خداوند همچون هدایت، مغفرت و آمرزش نیز براساس نظامی خاص بر انسان‌ها نازل می‌شود و اراده حکیمانه خداوند بر این تعلّق گرفته که امور از طریق اسباب خاص و علل معین به انسان‌ها برسد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گونه که در عالم ماده نمی‌توان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زمین را با خورشید نورانی کرده و خود بی واسطه به چنین کاری دست نزده است؟ در عالم معنا نیز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مغفرت خویش را به واسطه اولیای الهی شامل حال بندگان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خداوند دارای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نظام آفرینش اعتنا نداشته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خدای متعال گناه‌کاران را ارشاد فرموده است که درِ خانه رسول اکرم‌صلی الله علیه وآله بروند و علاوه بر این‌که خود طلب مغفرت کنند، از آن بزرگوار بخواهند که برای ایشان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أَنْفُسَهُمْ جآؤُوکَ فَاسْتَغْفَرُوا اللَّهَ وَاسْتَغْفَرَ لَهُمُ الرَّسُولُ لَوَجَدُوا اللَّهَ تَوَّاباً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ایشان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 به خود ستم کردند، نزد تو می‌آمدند و از خدا آمرزش می‌خواستند و پیامبر هم برای ایشان طلب مغفرت می‌کرد، خدا را توبه پذیر مهربان می‌یافتند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از همین رو می‌بینیم که در قرآن و سنت تأکید فراوانی بر وسیله و توسل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وَابْتَغُوا إِلَیْهِ الوَسِیلَةَ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برای رسیدن به او وسیله طلب نمایید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و فایده دیگری که در توسل به اولیای الهی خصوصاً ذوات مقدسه اهل بیت‌علیهم السلام است این‌که مردم به جهت دریافت فیوضات الهی به واسطه آنان، نه تنها به مقام شامخ آن‌ها از نبوت یا امامت یقین حاصل می‌کنند، بلکه از باب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عبید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 دستورات آن‌ها که همان دستورات خداوند است می‌شوند</w:t>
      </w:r>
      <w:r>
        <w:rPr>
          <w:rFonts w:eastAsia="IRNazanin" w:cs="IRNazanin"/>
          <w:color w:val="111111"/>
          <w:sz w:val="28"/>
          <w:szCs w:val="28"/>
          <w:rtl w:val="true"/>
          <w:lang w:bidi="fa-IR"/>
        </w:rPr>
        <w:t>.</w:t>
      </w:r>
      <w:bookmarkStart w:id="56" w:name="pg126_610"/>
    </w:p>
    <w:p>
      <w:pPr>
        <w:pStyle w:val="Heading2"/>
        <w:numPr>
          <w:ilvl w:val="1"/>
          <w:numId w:val="1"/>
        </w:numPr>
        <w:rPr/>
      </w:pPr>
      <w:bookmarkStart w:id="57" w:name="__RefHeading___Toc939081_211673320"/>
      <w:bookmarkStart w:id="58" w:name="_Toc20"/>
      <w:bookmarkEnd w:id="56"/>
      <w:bookmarkEnd w:id="57"/>
      <w:r>
        <w:rPr>
          <w:rtl w:val="true"/>
        </w:rPr>
        <w:t>نهی از عجله‌</w:t>
      </w:r>
      <w:bookmarkEnd w:id="58"/>
    </w:p>
    <w:p>
      <w:pPr>
        <w:pStyle w:val="BookText"/>
        <w:rPr/>
      </w:pPr>
      <w:r>
        <w:rPr>
          <w:rFonts w:ascii="IRNazanin" w:hAnsi="IRNazanin" w:eastAsia="IRNazanin"/>
          <w:color w:val="111111"/>
          <w:sz w:val="28"/>
          <w:sz w:val="28"/>
          <w:szCs w:val="28"/>
          <w:rtl w:val="true"/>
          <w:lang w:bidi="fa-IR"/>
        </w:rPr>
        <w:t>در روایات فراوان به مسأله دعا برای تعجیل فرج حضرت مهدی‌علیه السلام اشاره شده است و در برخی روایات دیگر از عجله کردن و استعجال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المستعجلون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عجله کردند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بین این دو دسته روایات اختلاف و تنافی وجود دارد؟ ولی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در ظهور، اصرار زیاد بر فرج حضرت بدون تمهید مقدمات و شرایط و زمینه‌هاست، ولی دعا برای ظهور حضرت، با تمهید مقدمات و 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دعا برای تعجیل فرج در ظهور حضرت تأثیر به سزایی دارد، به این معنا که خود دعا می‌تواند به منزله جزء علت تامه در تسریع ظهور تأثیر به سزایی داشته باشد</w:t>
      </w:r>
      <w:r>
        <w:rPr>
          <w:rFonts w:eastAsia="IRNazanin" w:cs="IRNazanin"/>
          <w:color w:val="111111"/>
          <w:sz w:val="28"/>
          <w:szCs w:val="28"/>
          <w:rtl w:val="true"/>
          <w:lang w:bidi="fa-IR"/>
        </w:rPr>
        <w:t>.</w:t>
      </w:r>
    </w:p>
    <w:p>
      <w:pPr>
        <w:pStyle w:val="Heading2"/>
        <w:numPr>
          <w:ilvl w:val="1"/>
          <w:numId w:val="1"/>
        </w:numPr>
        <w:rPr/>
      </w:pPr>
      <w:bookmarkStart w:id="59" w:name="__RefHeading___Toc939083_211673320"/>
      <w:bookmarkStart w:id="60" w:name="_Toc21"/>
      <w:bookmarkEnd w:id="59"/>
      <w:r>
        <w:rPr>
          <w:rtl w:val="true"/>
        </w:rPr>
        <w:t>دعای عهد</w:t>
      </w:r>
      <w:bookmarkEnd w:id="60"/>
    </w:p>
    <w:p>
      <w:pPr>
        <w:pStyle w:val="BookText"/>
        <w:rPr/>
      </w:pPr>
      <w:r>
        <w:rPr>
          <w:rFonts w:ascii="IRNazanin" w:hAnsi="IRNazanin" w:eastAsia="IRNazanin"/>
          <w:color w:val="111111"/>
          <w:sz w:val="28"/>
          <w:sz w:val="28"/>
          <w:szCs w:val="28"/>
          <w:rtl w:val="true"/>
          <w:lang w:bidi="fa-IR"/>
        </w:rPr>
        <w:t>مطابق روایتی که از امام صادق‌علیه السلام نقل شده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چهل صبح دعای عهد را بخواند از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باشد، و اگر پیش از ظهور آن حضرت بمیرد خداوند او را از قبر بیرون آورد تا در خدمت آن حضرت باشد</w:t>
      </w:r>
      <w:r>
        <w:rPr>
          <w:rFonts w:eastAsia="IRNazanin" w:cs="IRNazanin"/>
          <w:color w:val="111111"/>
          <w:sz w:val="28"/>
          <w:szCs w:val="28"/>
          <w:rtl w:val="true"/>
          <w:lang w:bidi="fa-IR"/>
        </w:rPr>
        <w:t>...».</w:t>
      </w:r>
      <w:r>
        <w:rPr>
          <w:rStyle w:val="FootnoteAnchor"/>
          <w:rtl w:val="true"/>
        </w:rPr>
        <w:footnoteReference w:id="4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سؤال فوق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ممکن است مقیّد باشد به این‌که اعمال و رفتار دیگر نیز درست و مطابق موازین شرع باشد، زیرا انسان باید با حقیقت این دعا انس داشته باشد تا بتواند با خدای خود عهد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خواندن دعای عهد گرچه از شخصی باشد که انسان بدی است ولی خداوند متعال به برکت این دعا او را متحوّل می‌گرداند و با خواندن این دعا در چهل روز و عهد قلبی با حضرت مهدی‌علیه السلام چنان تحوّلی اساسی در وجود او ایجاد شود که به این قابلیّت برسد که بتواند از اصحاب حضرت شود</w:t>
      </w:r>
      <w:r>
        <w:rPr>
          <w:rFonts w:eastAsia="IRNazanin" w:cs="IRNazanin"/>
          <w:color w:val="111111"/>
          <w:sz w:val="28"/>
          <w:szCs w:val="28"/>
          <w:rtl w:val="true"/>
          <w:lang w:bidi="fa-IR"/>
        </w:rPr>
        <w:t>.</w:t>
      </w:r>
      <w:bookmarkStart w:id="61" w:name="pg126_616"/>
    </w:p>
    <w:p>
      <w:pPr>
        <w:pStyle w:val="Heading2"/>
        <w:numPr>
          <w:ilvl w:val="1"/>
          <w:numId w:val="1"/>
        </w:numPr>
        <w:rPr/>
      </w:pPr>
      <w:bookmarkStart w:id="62" w:name="__RefHeading___Toc939085_211673320"/>
      <w:bookmarkStart w:id="63" w:name="_Toc22"/>
      <w:bookmarkEnd w:id="61"/>
      <w:bookmarkEnd w:id="62"/>
      <w:r>
        <w:rPr>
          <w:rtl w:val="true"/>
        </w:rPr>
        <w:t xml:space="preserve">ولایت تکوینی امام زمان </w:t>
      </w:r>
      <w:r>
        <w:rPr>
          <w:rtl w:val="true"/>
        </w:rPr>
        <w:t>«</w:t>
      </w:r>
      <w:r>
        <w:rPr>
          <w:rtl w:val="true"/>
        </w:rPr>
        <w:t>علیه السلام</w:t>
      </w:r>
      <w:r>
        <w:rPr>
          <w:rtl w:val="true"/>
        </w:rPr>
        <w:t>»</w:t>
      </w:r>
      <w:bookmarkEnd w:id="6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939087_211673320"/>
      <w:bookmarkStart w:id="65" w:name="_Toc23"/>
      <w:bookmarkEnd w:id="64"/>
      <w:r>
        <w:rPr>
          <w:rtl w:val="true"/>
        </w:rPr>
        <w:t>اشاره</w:t>
      </w:r>
      <w:bookmarkStart w:id="66" w:name="pg126_617"/>
      <w:bookmarkEnd w:id="65"/>
    </w:p>
    <w:p>
      <w:pPr>
        <w:pStyle w:val="Heading3"/>
        <w:numPr>
          <w:ilvl w:val="2"/>
          <w:numId w:val="1"/>
        </w:numPr>
        <w:rPr/>
      </w:pPr>
      <w:bookmarkStart w:id="67" w:name="__RefHeading___Toc939089_211673320"/>
      <w:bookmarkStart w:id="68" w:name="_Toc24"/>
      <w:bookmarkEnd w:id="6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از جمله مباحثی که بین متکلمان مطرح بوده و هست، ولایت تکوینی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چیست و ولایت تکوینی چه معنایی دارد؟ آیا کسان دیگری غیر از انبیا ولایت تکوینی یعنی حقّ تصرّف در نظام تکوین را دارند؟ در این‌جا به توضیح و شرح این موضوع می‌پردازیم</w:t>
      </w:r>
      <w:r>
        <w:rPr>
          <w:rFonts w:eastAsia="IRNazanin" w:cs="IRNazanin"/>
          <w:color w:val="111111"/>
          <w:sz w:val="28"/>
          <w:szCs w:val="28"/>
          <w:rtl w:val="true"/>
          <w:lang w:bidi="fa-IR"/>
        </w:rPr>
        <w:t>.</w:t>
      </w:r>
    </w:p>
    <w:p>
      <w:pPr>
        <w:pStyle w:val="Heading3"/>
        <w:numPr>
          <w:ilvl w:val="2"/>
          <w:numId w:val="1"/>
        </w:numPr>
        <w:rPr/>
      </w:pPr>
      <w:bookmarkStart w:id="69" w:name="__RefHeading___Toc939091_211673320"/>
      <w:bookmarkStart w:id="70" w:name="_Toc25"/>
      <w:bookmarkEnd w:id="69"/>
      <w:r>
        <w:rPr>
          <w:rtl w:val="true"/>
        </w:rPr>
        <w:t>تعریف ولایت‌</w:t>
      </w:r>
      <w:bookmarkEnd w:id="70"/>
    </w:p>
    <w:p>
      <w:pPr>
        <w:pStyle w:val="BookText"/>
        <w:rPr/>
      </w:pPr>
      <w:r>
        <w:rPr>
          <w:rFonts w:ascii="IRNazanin" w:hAnsi="IRNazanin" w:eastAsia="IRNazanin"/>
          <w:color w:val="111111"/>
          <w:sz w:val="28"/>
          <w:sz w:val="28"/>
          <w:szCs w:val="28"/>
          <w:rtl w:val="true"/>
          <w:lang w:bidi="fa-IR"/>
        </w:rPr>
        <w:t>فیومی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مثل فَلْس به معنای قرب است و ولایت به کسره و فتحه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نصرت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معنای قرب و نزدیک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امر شخصی را متکفّل شود و از عهده آن بر آید، ولیّ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سلطان و نیز با کسره و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نصرت آمده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اقرب الموارد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حصول الثانی بعد الأوّل من غیر فصل؛ وَلْی عبارت است از قرار گرفتن فرد یا شی‌ء دوم به دنبال فرد یا شی‌ء اوّل 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الشی‌ء وعلیه وِلایة و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امر آن شده و بر آن</w:t>
      </w:r>
    </w:p>
    <w:p>
      <w:pPr>
        <w:pStyle w:val="BookText"/>
        <w:rPr/>
      </w:pP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ولایت با فتح و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امارت و سلطنت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والتوالی أن یحصل شیئان فصاعداً حصولاً لیس بینهما ما لیس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وتوالی به معنای آن است که دو چیز و یا بیشتر از آن، طوری قرار گیرند و واقع شوند که بین آن دو، غیر از خود آن‌ها، چیز دیگری نبوده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علامه طباطبایی‌رحمه الله در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آخرین درجه کمال انسان است و آخرین منظور و مقصود از تشریع شریعت حقّ خداوندی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تفسیر المیزان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معنای ولایت برداشته شدن واسطه‌ای است که بین دو چیز حائل شده باشد، به‌طوری که بین آن‌دو، غیر از آن‌ها واسطه‌ای باقی نماند و سپس برای نزدیکی چیزی به چیز دیگر به چند صورت،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نَسَبی، مکانی، منزلتی، صداقت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بر هر یک از دو طرف وَلایت، ولّی گفته می‌شود؛ بالأخصّ به جهت آن که هر یک از آن دو نسبت به دیگری دارای حالتی است که غیرِ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سبحان ولیّ بنده مؤمن خود است؛ امورش را زیر نظر دارد و شئون وی را تدبیر می‌کند، او را در صراط مستقیم هدایت می‌نماید، امور وی را در عهده‌دار و او را در دنیا و آخرت یاری می‌کند</w:t>
      </w:r>
      <w:r>
        <w:rPr>
          <w:rFonts w:eastAsia="IRNazanin" w:cs="IRNazanin"/>
          <w:color w:val="111111"/>
          <w:sz w:val="28"/>
          <w:szCs w:val="28"/>
          <w:rtl w:val="true"/>
          <w:lang w:bidi="fa-IR"/>
        </w:rPr>
        <w:t>.</w:t>
      </w:r>
      <w:bookmarkStart w:id="71" w:name="pg126_621"/>
    </w:p>
    <w:p>
      <w:pPr>
        <w:pStyle w:val="BookText"/>
        <w:rPr/>
      </w:pPr>
      <w:bookmarkEnd w:id="71"/>
      <w:r>
        <w:rPr>
          <w:rFonts w:ascii="IRNazanin" w:hAnsi="IRNazanin" w:eastAsia="IRNazanin"/>
          <w:color w:val="111111"/>
          <w:sz w:val="28"/>
          <w:sz w:val="28"/>
          <w:szCs w:val="28"/>
          <w:rtl w:val="true"/>
          <w:lang w:bidi="fa-IR"/>
        </w:rPr>
        <w:t>مؤمن حقیقی و واقعی نیز ولیّ پروردگار است، زیرا خود را اوامر و نواهی خداوند تحت ولایت او در می‌آورد؛ همچنین در تمامی برکت‌های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توفیق، تأیید، تسدید و آنچه در پی دارد، از مکرّم شدن به بهشت و مقام رضوان خداوند، تحت ولایت و پذیرش خداوندِ خود است</w:t>
      </w:r>
      <w:r>
        <w:rPr>
          <w:rFonts w:eastAsia="IRNazanin" w:cs="IRNazanin"/>
          <w:color w:val="111111"/>
          <w:sz w:val="28"/>
          <w:szCs w:val="28"/>
          <w:rtl w:val="true"/>
          <w:lang w:bidi="fa-IR"/>
        </w:rPr>
        <w:t>... ».</w:t>
      </w:r>
      <w:r>
        <w:rPr>
          <w:rStyle w:val="FootnoteAnchor"/>
          <w:rtl w:val="true"/>
        </w:rPr>
        <w:footnoteReference w:id="46"/>
      </w:r>
    </w:p>
    <w:p>
      <w:pPr>
        <w:pStyle w:val="Heading3"/>
        <w:numPr>
          <w:ilvl w:val="2"/>
          <w:numId w:val="1"/>
        </w:numPr>
        <w:rPr/>
      </w:pPr>
      <w:bookmarkStart w:id="72" w:name="__RefHeading___Toc939093_211673320"/>
      <w:bookmarkStart w:id="73" w:name="_Toc26"/>
      <w:bookmarkEnd w:id="72"/>
      <w:r>
        <w:rPr>
          <w:rtl w:val="true"/>
        </w:rPr>
        <w:t>معنای ولایت تکوینی‌</w:t>
      </w:r>
      <w:bookmarkEnd w:id="73"/>
    </w:p>
    <w:p>
      <w:pPr>
        <w:pStyle w:val="BookText"/>
        <w:rPr/>
      </w:pPr>
      <w:r>
        <w:rPr>
          <w:rFonts w:ascii="IRNazanin" w:hAnsi="IRNazanin" w:eastAsia="IRNazanin"/>
          <w:color w:val="111111"/>
          <w:sz w:val="28"/>
          <w:sz w:val="28"/>
          <w:szCs w:val="28"/>
          <w:rtl w:val="true"/>
          <w:lang w:bidi="fa-IR"/>
        </w:rPr>
        <w:t>مقصود از ولایت تکوینی این است که فردی بر اثر پیمودن راه‌بندگی آن چنان کمال و قرب معنوی پیدا کند که به فرمان و اذن الهی بتواند در جهان و انسان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کمال روحی و معنوی است که در سایه عمل به نوامیس خدایی و قوانین شرع در درون انسان پدید می‌آید و سرچشمه مجموعه‌ای از کارهای خارق العاده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ولایت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و واقعیّتی است اکتسابی و راه کسب برخی از مراتب آن به روی همه باز است، ولی مقاماتی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همگی موهبت خداوندی است که پس از تحصیل یک سلسله زمینه‌ها، چیزی جز خواست خداوند در آن دخالت ندارد</w:t>
      </w:r>
      <w:r>
        <w:rPr>
          <w:rFonts w:eastAsia="IRNazanin" w:cs="IRNazanin"/>
          <w:color w:val="111111"/>
          <w:sz w:val="28"/>
          <w:szCs w:val="28"/>
          <w:rtl w:val="true"/>
          <w:lang w:bidi="fa-IR"/>
        </w:rPr>
        <w:t>.</w:t>
      </w:r>
    </w:p>
    <w:p>
      <w:pPr>
        <w:pStyle w:val="Heading3"/>
        <w:numPr>
          <w:ilvl w:val="2"/>
          <w:numId w:val="1"/>
        </w:numPr>
        <w:rPr/>
      </w:pPr>
      <w:bookmarkStart w:id="74" w:name="__RefHeading___Toc939095_211673320"/>
      <w:bookmarkStart w:id="75" w:name="_Toc27"/>
      <w:bookmarkEnd w:id="74"/>
      <w:r>
        <w:rPr>
          <w:rtl w:val="true"/>
        </w:rPr>
        <w:t>توجّه به باطن‌</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دو جز به نام تن و روان آفریده شده است؛ به عبارت دیگر،</w:t>
      </w:r>
      <w:bookmarkStart w:id="76" w:name="pg126_623"/>
    </w:p>
    <w:p>
      <w:pPr>
        <w:pStyle w:val="BookText"/>
        <w:rPr/>
      </w:pPr>
      <w:bookmarkEnd w:id="76"/>
      <w:r>
        <w:rPr>
          <w:rFonts w:ascii="IRNazanin" w:hAnsi="IRNazanin" w:eastAsia="IRNazanin"/>
          <w:color w:val="111111"/>
          <w:sz w:val="28"/>
          <w:sz w:val="28"/>
          <w:szCs w:val="28"/>
          <w:rtl w:val="true"/>
          <w:lang w:bidi="fa-IR"/>
        </w:rPr>
        <w:t>انسانیّتِ انسان، منحصر به جسم و تن نیست، بلکه باطن و جانی دارد که واقعیّت او را تشکیل می‌دهد و اگر بر سر راه تکامل انسان، از نظر جسم و ماده محدودیت‌هایی وجود دارد، سر راه تکاملش از نظر روح و معنا چنین محدودیّتی نیست، بلکه او از این نظر آمادگی بیشتری برای ترقی و تعالی دارد؛ چه بسا در پرتو اطاعت خدا و پیمودن راه حق می‌تواند قلّه‌های بس بلندی را پیموده و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از شدّت توجه‌اش به امور مادّی و لذایذ جسمانی بکاهد و به درون‌گرایی و باطن‌نگری بپردازد، در این موقع می‌تواند نیروهای نهفته باطنی خویش را آشکار سازد و بر قدرت و توانایی‌اش بیفزاید</w:t>
      </w:r>
      <w:r>
        <w:rPr>
          <w:rFonts w:eastAsia="IRNazanin" w:cs="IRNazanin"/>
          <w:color w:val="111111"/>
          <w:sz w:val="28"/>
          <w:szCs w:val="28"/>
          <w:rtl w:val="true"/>
          <w:lang w:bidi="fa-IR"/>
        </w:rPr>
        <w:t>.</w:t>
      </w:r>
    </w:p>
    <w:p>
      <w:pPr>
        <w:pStyle w:val="Heading3"/>
        <w:numPr>
          <w:ilvl w:val="2"/>
          <w:numId w:val="1"/>
        </w:numPr>
        <w:rPr/>
      </w:pPr>
      <w:bookmarkStart w:id="77" w:name="__RefHeading___Toc939097_211673320"/>
      <w:bookmarkStart w:id="78" w:name="_Toc28"/>
      <w:bookmarkEnd w:id="77"/>
      <w:r>
        <w:rPr>
          <w:rtl w:val="true"/>
        </w:rPr>
        <w:t>اثر بندگی خدا</w:t>
      </w:r>
      <w:bookmarkEnd w:id="78"/>
    </w:p>
    <w:p>
      <w:pPr>
        <w:pStyle w:val="BookText"/>
        <w:rPr/>
      </w:pPr>
      <w:r>
        <w:rPr>
          <w:rFonts w:ascii="IRNazanin" w:hAnsi="IRNazanin" w:eastAsia="IRNazanin"/>
          <w:color w:val="111111"/>
          <w:sz w:val="28"/>
          <w:sz w:val="28"/>
          <w:szCs w:val="28"/>
          <w:rtl w:val="true"/>
          <w:lang w:bidi="fa-IR"/>
        </w:rPr>
        <w:t>از نظر آیین اسلام انسان دو نوع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زندگی حیوانی است که تمام بشر را در بر می‌گیرد و اسلام برای جلوگیری از هر نوع افراط و تفریط، برنامه خاصی برای این نوع زندگی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اسلام، علاوه بر این‌که بهزیستی انسان را در جهان ماده فراهم می‌سازد، راه را برای تحقّق حیات معنوی نیز هموار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نیت‌های انسان سرچشمه می‌گیرد و چنین حیاتی، سعادت و خوش‌بختی یا شقاوت و بدبختی را در پی‌دارد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حرکات و رفتار و کردار بشر، سازنده حیات معنوی و پدید آورنده قدرت روحی است که نتیجه آن سعادت و تعالی انسان و یا شقاوت و بدبختی او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پسِ پرده زندگی ظاهری، واقعیتی زنده و حیاتی معنوی نهفته که</w:t>
      </w:r>
      <w:bookmarkStart w:id="79" w:name="pg126_625"/>
    </w:p>
    <w:p>
      <w:pPr>
        <w:pStyle w:val="BookText"/>
        <w:rPr/>
      </w:pPr>
      <w:bookmarkEnd w:id="79"/>
      <w:r>
        <w:rPr>
          <w:rFonts w:ascii="IRNazanin" w:hAnsi="IRNazanin" w:eastAsia="IRNazanin"/>
          <w:color w:val="111111"/>
          <w:sz w:val="28"/>
          <w:sz w:val="28"/>
          <w:szCs w:val="28"/>
          <w:rtl w:val="true"/>
          <w:lang w:bidi="fa-IR"/>
        </w:rPr>
        <w:t xml:space="preserve">سرچشمه تمام خوش‌بختی‌ها می‌باشد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افراد انسان به طور متفاوت پدید می‌آید و مبدأ یک سلسله آثار شگرف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دستورهایش سبب دوری از او می‌شود</w:t>
      </w:r>
      <w:r>
        <w:rPr>
          <w:rFonts w:eastAsia="IRNazanin" w:cs="IRNazanin"/>
          <w:color w:val="111111"/>
          <w:sz w:val="28"/>
          <w:szCs w:val="28"/>
          <w:rtl w:val="true"/>
          <w:lang w:bidi="fa-IR"/>
        </w:rPr>
        <w:t>.</w:t>
      </w:r>
    </w:p>
    <w:p>
      <w:pPr>
        <w:pStyle w:val="Heading3"/>
        <w:numPr>
          <w:ilvl w:val="2"/>
          <w:numId w:val="1"/>
        </w:numPr>
        <w:rPr/>
      </w:pPr>
      <w:bookmarkStart w:id="80" w:name="__RefHeading___Toc939099_211673320"/>
      <w:bookmarkStart w:id="81" w:name="_Toc29"/>
      <w:bookmarkEnd w:id="80"/>
      <w:r>
        <w:rPr>
          <w:rtl w:val="true"/>
        </w:rPr>
        <w:t>قرب الهی‌</w:t>
      </w:r>
      <w:bookmarkEnd w:id="81"/>
    </w:p>
    <w:p>
      <w:pPr>
        <w:pStyle w:val="BookText"/>
        <w:rPr/>
      </w:pPr>
      <w:r>
        <w:rPr>
          <w:rFonts w:ascii="IRNazanin" w:hAnsi="IRNazanin" w:eastAsia="IRNazanin"/>
          <w:color w:val="111111"/>
          <w:sz w:val="28"/>
          <w:sz w:val="28"/>
          <w:szCs w:val="28"/>
          <w:rtl w:val="true"/>
          <w:lang w:bidi="fa-IR"/>
        </w:rPr>
        <w:t>مقصود از قرب و تقرّب الهی، نزدیکی از نظر مکان نیست، زیرا خداوند جهان جسم و جسمانی نبوده و دارای مکان نیست؛ تا بنده‌ای از نظر مکان به او نزدیک‌تر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او به ما، از خود ما نزدیک‌تر است؛</w:t>
      </w:r>
    </w:p>
    <w:p>
      <w:pPr>
        <w:pStyle w:val="BookText"/>
        <w:rPr/>
      </w:pP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مکان ندارد و چنین تقرّبی ممکن نیست، پس مقصود از قرب الهی و نزدیکی بنده به خدا چیست؟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کمال مطلق و نامحدود است و پویندگان راه عبودیت و بندگی در پرتو کمالاتی که از این راه به دست می‌آورند، سرانجام حائز کمال می‌شوند و از دیگران، که فاقد این نوع کمال‌اند، مقرّب‌تر و نزدیک‌تر به خدای تعالی می‌گردند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آفرینش هر کسی به تناسب کمال وجود خویش، قربی به ذات پروردگار دارد پس هر فردی که از نظر وجود کامل‌تر باشد به ذات الهی که کمال محض و نامتناهی است، مقرّب‌تر و نزدیک‌تر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کمال مطلق و نامتناهی است، مقصود از آن، صفات جمال خدا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حیات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در پرتو پیمودن راه اطاعت، گام در درجات کمال می‌گذارد و از نردبان کمال بالا می‌رود، مقصود این است که کمال وجودی بیشتر، علم و قدرتی زیادتر، اراده‌ای نافذتر و حیاتی جاودانه‌تر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می‌تواند از فرشته بالاتر رفته و از کمالات بشری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وآله در ضمن حدیثی به مقامات بلند سالکان راه حقّ و پویندگان راه عبودیّت و بندگی اشاره نموده، سخن پروردگار را چنین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تقرّب إلیّ عبد بشی‌ء أحبّ إلیّ ممّا افترضت علیه و إنّه لیتقرّب إلیّ بالنافلة حتّی أحبّه، فإذا أحببتُه کنت سمعه الذی یسمع به و بصره الذی ینطق به ویده التی یبطش بها، إن دعانی أجبته، و إن سألنی أعطیته</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با کاری به من تقرّب نجسته که محبوب‌تر از انجام فرایض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بجای آوردن نمازهای نافله آن چنان به من نزدیک می‌شود که او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محبوب من گردد، من گوش او می‌شوم که با آن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او می‌شوم که با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او می‌گردم که با 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او می‌شوم که با آن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بخواند اجابت می‌کنم و اگر چیزی از من بخواهد می‌بخشم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اطاعت از خدا قدرت درونی انسان به حدّی می‌رسد که با قدرت الهی صداهایی را می‌شنود که با نیروی عادی قادر به شنیدن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w:t>
      </w:r>
      <w:bookmarkStart w:id="82" w:name="pg126_629"/>
    </w:p>
    <w:p>
      <w:pPr>
        <w:pStyle w:val="BookText"/>
        <w:rPr/>
      </w:pPr>
      <w:bookmarkEnd w:id="82"/>
      <w:r>
        <w:rPr>
          <w:rFonts w:ascii="IRNazanin" w:hAnsi="IRNazanin" w:eastAsia="IRNazanin"/>
          <w:color w:val="111111"/>
          <w:sz w:val="28"/>
          <w:sz w:val="28"/>
          <w:szCs w:val="28"/>
          <w:rtl w:val="true"/>
          <w:lang w:bidi="fa-IR"/>
        </w:rPr>
        <w:t>و اشباحی را می‌بیند که دیدگان عادی را یارای دیدن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خداوند چشم و گوش او می‌گردد، آن است که دیده‌اش در پرتو قدرت الهی نافذتر و گوشش شنواتر و قدرتش گسترده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الشریعه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پیمودن راه قرب به خدا، گوهری است که نتیجه آن خداوندگاری و کسب قدرت و توانایی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کردن نیست، زیرا هیچ‌گاه بشر نمی‌تواند از حدود امکانی تجاوز کند، بلکه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کمالات بیشتر و قدرت و نیروهای بالاتر است</w:t>
      </w:r>
      <w:r>
        <w:rPr>
          <w:rFonts w:eastAsia="IRNazanin" w:cs="IRNazanin"/>
          <w:color w:val="111111"/>
          <w:sz w:val="28"/>
          <w:szCs w:val="28"/>
          <w:rtl w:val="true"/>
          <w:lang w:bidi="fa-IR"/>
        </w:rPr>
        <w:t>.</w:t>
      </w:r>
    </w:p>
    <w:p>
      <w:pPr>
        <w:pStyle w:val="Heading3"/>
        <w:numPr>
          <w:ilvl w:val="2"/>
          <w:numId w:val="1"/>
        </w:numPr>
        <w:rPr/>
      </w:pPr>
      <w:bookmarkStart w:id="83" w:name="__RefHeading___Toc939101_211673320"/>
      <w:bookmarkStart w:id="84" w:name="_Toc30"/>
      <w:bookmarkEnd w:id="83"/>
      <w:r>
        <w:rPr>
          <w:rtl w:val="true"/>
        </w:rPr>
        <w:t>آثار قرب الهی‌</w:t>
      </w:r>
      <w:bookmarkEnd w:id="84"/>
    </w:p>
    <w:p>
      <w:pPr>
        <w:pStyle w:val="BookText"/>
        <w:rPr/>
      </w:pPr>
      <w:r>
        <w:rPr>
          <w:rFonts w:ascii="IRNazanin" w:hAnsi="IRNazanin" w:eastAsia="IRNazanin"/>
          <w:color w:val="111111"/>
          <w:sz w:val="28"/>
          <w:sz w:val="28"/>
          <w:szCs w:val="28"/>
          <w:rtl w:val="true"/>
          <w:lang w:bidi="fa-IR"/>
        </w:rPr>
        <w:t>قرب الهی آثار فراوانی دارد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نفس</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بدی‌ها و منکرها باز می‌دارد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بر شما بسان پیشینیان واجب کردیم تا پرهیزگار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بینش خاص</w:t>
      </w:r>
    </w:p>
    <w:p>
      <w:pPr>
        <w:pStyle w:val="BookText"/>
        <w:rPr/>
      </w:pPr>
      <w:r>
        <w:rPr>
          <w:rFonts w:ascii="IRNazanin" w:hAnsi="IRNazanin" w:eastAsia="IRNazanin"/>
          <w:color w:val="111111"/>
          <w:sz w:val="28"/>
          <w:sz w:val="28"/>
          <w:szCs w:val="28"/>
          <w:rtl w:val="true"/>
          <w:lang w:bidi="fa-IR"/>
        </w:rPr>
        <w:t>از مزایای قرب الهی این است که انسان در سایه صفا و روشناییِ دل، بینش خاصّی پیدا می‌کند که با آن حقّ و باطل را به روشنی تشخیص می‌دهد و هرگز گمراه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تَتَّقُوا اللَّهَ یَجْعَلْ لَکُمْ فُرْقاناً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پرهیزکار باشید خدا به شما نیرویی می‌بخشد که با آن، حقّ و باطل را به خوبی تشخیص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خاصّی است که سبب می‌گردد انسان حقّ و باطل را خوب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سعی و کوشش کنند، آنان را به راه‌های خویش رهبری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خدا بپرهیزید و به پیامبر او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از رحمت خویش را به شما می‌دهد و برای شما نوری قرار می‌دهد که با آن راه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خواطر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پویندگان راه عبودیّت به‌واسطه تکامل و قدرتی که در سایه بندگی می‌یابند بر تمام اندیشه‌های پراکنده خود مسلط می‌شوند و در حال عبادت آن‌چنان</w:t>
      </w:r>
    </w:p>
    <w:p>
      <w:pPr>
        <w:pStyle w:val="BookText"/>
        <w:rPr/>
      </w:pPr>
      <w:r>
        <w:rPr>
          <w:rFonts w:ascii="IRNazanin" w:hAnsi="IRNazanin" w:eastAsia="IRNazanin"/>
          <w:color w:val="111111"/>
          <w:sz w:val="28"/>
          <w:sz w:val="28"/>
          <w:szCs w:val="28"/>
          <w:rtl w:val="true"/>
          <w:lang w:bidi="fa-IR"/>
        </w:rPr>
        <w:t>تمرکز فکری و حضور قلب دارند که از غیر خدا غافل می‌شوند و غرق جمال و کمال خدا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سینا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نوعی ورزش برای قوای فکری است که بر اثر تکرار و عادت به حضور در محضر خدا، فکر را از توجه به مسائلی مربوط به طبیعت و ماده به سوی تصورات ملکوتی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فکری تسلیم باطن و فطرت خداجوی انسان می‌گردد و مطیع او می‌شوند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خلع نفس</w:t>
      </w:r>
    </w:p>
    <w:p>
      <w:pPr>
        <w:pStyle w:val="BookText"/>
        <w:rPr/>
      </w:pPr>
      <w:r>
        <w:rPr>
          <w:rFonts w:ascii="IRNazanin" w:hAnsi="IRNazanin" w:eastAsia="IRNazanin"/>
          <w:color w:val="111111"/>
          <w:sz w:val="28"/>
          <w:sz w:val="28"/>
          <w:szCs w:val="28"/>
          <w:rtl w:val="true"/>
          <w:lang w:bidi="fa-IR"/>
        </w:rPr>
        <w:t>در جهان طبیعت، روح و بدن به یکدیگر نیازی شدید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روح بر بدن علاقه تدبیری دارد، بدن را از فساد و خرابی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روح در فعّالیت خود به بدن نیازمند است و در پرتو اعضا و جوارح بدنی می‌تواند بشنود، ببیند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روح، بر اثر کمال و قدرتی که از جانب قرب الهی پیدا می‌کند، از استخدام بدن بی‌نیاز می‌شود و می‌تواند خود را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جهان طبیعت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عبادت و قرب الهی، نه تنها حوزه بدن تحت فرمان انسان قرار می‌گیرد، بلکه جهان طبیعت مطیع انسان می‌گردد و به اذنِ پروردگارِ جهان در پرتو نیرو و قدرتی که از تقرب به خدا کسب نموده است، در طبیعت تصرف می‌کند و مبدأ یک سلسله معجزه‌ها و کرامات می‌شود و در حقیقت، قدرت بر تصرف و تسلط بر تکوین می‌یابد</w:t>
      </w:r>
      <w:r>
        <w:rPr>
          <w:rFonts w:eastAsia="IRNazanin" w:cs="IRNazanin"/>
          <w:color w:val="111111"/>
          <w:sz w:val="28"/>
          <w:szCs w:val="28"/>
          <w:rtl w:val="true"/>
          <w:lang w:bidi="fa-IR"/>
        </w:rPr>
        <w:t>.</w:t>
      </w:r>
      <w:bookmarkStart w:id="85" w:name="pg126_634"/>
    </w:p>
    <w:p>
      <w:pPr>
        <w:pStyle w:val="Heading3"/>
        <w:numPr>
          <w:ilvl w:val="2"/>
          <w:numId w:val="1"/>
        </w:numPr>
        <w:rPr/>
      </w:pPr>
      <w:bookmarkStart w:id="86" w:name="__RefHeading___Toc939103_211673320"/>
      <w:bookmarkStart w:id="87" w:name="_Toc31"/>
      <w:bookmarkEnd w:id="85"/>
      <w:bookmarkEnd w:id="86"/>
      <w:r>
        <w:rPr>
          <w:rtl w:val="true"/>
        </w:rPr>
        <w:t>قرآن و ولایت تکوینی اولیای الهی‌</w:t>
      </w:r>
      <w:bookmarkEnd w:id="87"/>
    </w:p>
    <w:p>
      <w:pPr>
        <w:pStyle w:val="BookText"/>
        <w:rPr/>
      </w:pPr>
      <w:r>
        <w:rPr>
          <w:rFonts w:ascii="IRNazanin" w:hAnsi="IRNazanin" w:eastAsia="IRNazanin"/>
          <w:color w:val="111111"/>
          <w:sz w:val="28"/>
          <w:sz w:val="28"/>
          <w:szCs w:val="28"/>
          <w:rtl w:val="true"/>
          <w:lang w:bidi="fa-IR"/>
        </w:rPr>
        <w:t>با مراجعه به قرآن می‌توان شواهدی بر ولایت تکوینی اولیا اقامه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از قول حضرت یوسف‌علیه السلام خطاب به برادرانش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پیراهنم را بر چهره پدرم بیفکنید تا او نعمت بینایی خود را بازیابد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جاءَ الْبَشِیرُ أَلْقاهُ عَلی وَجْهِهِ فَارْتَدَّ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مژده رسان آمد و پیراهن یوسف را بر صورت وی افکند، او بینایی خود را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اراده و خواست و قدرت روحی حضرت یوسف‌علیه السلام در بازگردانیدن بینایی پدر خویش، مؤثّر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را که موسی برای قوم خود آب طلبید ما به او دستور دادیم عصای خود را بر سنگی زند، ناگهان دوازده چشمه از آن بیرون آمد همه بنی اسرائیل آبشخور خود را دانستند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می‌دانیم که حضرت سلیمان، ملکه سبا را احضار نمود، ولی پیش از آن که وی به حضور سلیمان برسد، سلیمان در مجلس خود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الْمَلَؤُا أَیُّکُمْ یَأْتِینِی بِعَرْشِها قَبْلَ أَنْ یَأْتُونِی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می‌تواند تخت بلقیس را برای من بیاورد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و همراهان مطیعانه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حاضران در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آتِیکَ بِهِ قَبْلَ أَنْ تَقُومَ مِنْ مَقامِکَ وَإِنِّی عَلَیْهِ لَقَوِیٌّ أَمِینٌ</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تو از جای خود برخیزی من آن را می‌آورم و من بر این کار توانا و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در یک چشم به‌هم زدن می‌تواند آن را بیاورد؛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 مِنْ فَضْلِ رَبِّی</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او دانشی از کتاب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تو چشم بر هم بزنی، من آن را در این مجلس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سلیمان تخت را در برابر خود حاضر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است از جانب خدا بر من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 بعضی از کارهای فوق العاده را به حضرت مسیح‌علیه السلام نسبت می‌دهد و این می‌رساند که همه آن کارها از نیروی باطنی و اراده خلاق او سرچشمه می‌گرفته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أَخْلُقُ لَکُمْ مِنَ الطِّینِ کَهَیْئَةِ الطَّیْرِ فَأَنْفُخُ فِیهِ فَیَکُونُ طَیْراً بِإِذْنِ اللَّهِ وَأُبْرِئُ اْلأَکْمَهَ وَاْلأَبْرَصَ وَأُحْیِ الْمَوْتی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از گل شکل مرغی می‌سازم و در آن می‌دمم که به اذن خدا پرنده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مادرزاد و پیسی را شفا می‌دهم و مردگان را به اذن خدا زنده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کریم در مورد یکی از معجزات و تصرفات تکوینی حضرت محمّدصلی الله علیه وآله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 وَإِنْ یَرَوْا آیَةً یُعْرِضُوا وَیَقُولُوا سِحْرٌ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قیامت و از هم شکافت ماه و هرگاه نشانه‌ای ببینند روی بگردانند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در بیان شأن نزول آیات فوق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مشرکان به پیامبرصلی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ادّعای خود راست‌گویی، ماه را برای ما دو نیم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کار را انجام دهم، ایمان می‌آورید؟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خدا درخواست کرد تا خواسته‌شان را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 به دو نیم 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حقّ این است که معجزه فعل ولیّ خدا است که به اذن و مشیّت خداوند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نخست، معجزه و تصرف تکوینی پیامبرصلی الله علیه وآله در انشقاق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چنین پنداریم که انشقاق ماه در این آیات، به دو نیم شدن آن در روز رستاخیز اشاره دارد، ولی قراینی وجود دارد که برداشت اوّل را تأیید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یَرَوْا آیَةً یُعْرِضُوا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در این‌جا مقصود از آیه، آیات قرآنی نیست، بلکه مقصود از آن معجزه است، زیرا قرآن از معجزات پیامبران با الفاظی،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بود که در شکل اول، به جای فعل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یا</w:t>
      </w:r>
      <w:bookmarkStart w:id="88" w:name="pg126_640"/>
    </w:p>
    <w:p>
      <w:pPr>
        <w:pStyle w:val="BookText"/>
        <w:rPr/>
      </w:pPr>
      <w:bookmarkEnd w:id="88"/>
      <w:r>
        <w:rPr>
          <w:rFonts w:ascii="IRNazanin" w:hAnsi="IRNazanin" w:eastAsia="IRNazanin"/>
          <w:color w:val="111111"/>
          <w:sz w:val="28"/>
          <w:sz w:val="28"/>
          <w:szCs w:val="28"/>
          <w:rtl w:val="true"/>
          <w:lang w:bidi="fa-IR"/>
        </w:rPr>
        <w:t>نزول استفاده شود؛ مثلاً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نزلت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مقصود از آیه، اعجاز پیامبرصلی الله علیه وآله وانشقاق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قرینه‌ای بر این معناست که سخن در این آیات راجع به معجزه پیامبرصلی الله علیه وآله است، نه انشقاق ماه در رستاخیز، زیرا در روز قیامت که پهنه ظهور تمام حقایق است کسی سخن باطلی بر زبان نمی‌راند، در حالی که سحر خواندن آیات الهی سخن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با توجه به قراین یاد شده از یک سو و شأن نزول آیات از سوی دیگر، آیات نخستین سوره قمر به یکی از معجزات و تصرفات تکوینی پیامبر اکرم‌صلی الله علیه وآله که دو نیم کردن ماه و ناشی از ولایت تکوینی او است، اشاره دارد</w:t>
      </w:r>
      <w:r>
        <w:rPr>
          <w:rFonts w:eastAsia="IRNazanin" w:cs="IRNazanin"/>
          <w:color w:val="111111"/>
          <w:sz w:val="28"/>
          <w:szCs w:val="28"/>
          <w:rtl w:val="true"/>
          <w:lang w:bidi="fa-IR"/>
        </w:rPr>
        <w:t>.</w:t>
      </w:r>
    </w:p>
    <w:p>
      <w:pPr>
        <w:pStyle w:val="Heading3"/>
        <w:numPr>
          <w:ilvl w:val="2"/>
          <w:numId w:val="1"/>
        </w:numPr>
        <w:rPr/>
      </w:pPr>
      <w:bookmarkStart w:id="89" w:name="__RefHeading___Toc939105_211673320"/>
      <w:bookmarkStart w:id="90" w:name="_Toc32"/>
      <w:bookmarkEnd w:id="89"/>
      <w:r>
        <w:rPr>
          <w:rtl w:val="true"/>
        </w:rPr>
        <w:t>ولایت تکوینی امام زمان‌علیه السلام‌</w:t>
      </w:r>
      <w:bookmarkEnd w:id="90"/>
    </w:p>
    <w:p>
      <w:pPr>
        <w:pStyle w:val="BookText"/>
        <w:rPr/>
      </w:pPr>
      <w:r>
        <w:rPr>
          <w:rFonts w:ascii="IRNazanin" w:hAnsi="IRNazanin" w:eastAsia="IRNazanin"/>
          <w:color w:val="111111"/>
          <w:sz w:val="28"/>
          <w:sz w:val="28"/>
          <w:szCs w:val="28"/>
          <w:rtl w:val="true"/>
          <w:lang w:bidi="fa-IR"/>
        </w:rPr>
        <w:t>ولایت تکوینی امام زمان‌علیه السلام و سایر امامان را با ذکر چند مقدمه می‌توان به اثبات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اوّل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حضرت سلیمان به حاضران در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می‌تواند تخت بلقیس را برای من بیاورد، پیش از آن‌که بلقیس و همراهان او مطیعانه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اعلام کرد که در یک چشم بر هم زدن می‌تواند آن را بیاورد؛ خداوند متعال در مورد این داستان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w:t>
      </w:r>
    </w:p>
    <w:p>
      <w:pPr>
        <w:pStyle w:val="BookText"/>
        <w:rPr/>
      </w:pPr>
      <w:r>
        <w:rPr>
          <w:rFonts w:ascii="Amiri" w:hAnsi="Amiri" w:eastAsia="Amiri" w:cs="Amiri"/>
          <w:color w:val="111111"/>
          <w:sz w:val="28"/>
          <w:sz w:val="28"/>
          <w:szCs w:val="28"/>
          <w:rtl w:val="true"/>
          <w:lang w:bidi="ar-SA"/>
        </w:rPr>
        <w:t>إِلَیْکَ طَرْفُکَ فَلَمَّا رَآهُ مُسْتَقِرًّا عِنْدَهُ قالَ هذا مِنْ فَضْلِ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کسی که مقداری از علم کتاب داشت، توانست در نظام تکوین تصرف کرده و تاج و تخت بلقیس ملکه سبا را از راه بسیار دور کمتر از یک چشم به هم زدن نزد سلیمان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اگر کسی از کتاب خدا اطلاع داشته و به آن عالم باشد، قدرت تصرّف در کائنات را دارد که همان ولایت تکوینی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دوّم</w:t>
      </w:r>
    </w:p>
    <w:p>
      <w:pPr>
        <w:pStyle w:val="BookText"/>
        <w:rPr/>
      </w:pP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تنها گواه بین من و شما، خدا و کسی که دانای حقیقی به کتاب خدا است کافی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خداوند متعال و گروهی دیگر که عالم به کلّ کتاب‌اند بین پیامبر و مردم شاهد بوده و شهادت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می‌آید جماعتی هستند که عالم به کل کتاب‌اند، زیرا از طرفی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موصولات است ولذا 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علم اصول فقه بیان شده که مصدر مضاف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نظر برخی مفرد محلّی به الف و لام نیز دلالت بر عموم دارد، پس از چند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این‌که از این جمله استفاده می‌شود که جماعتی هستند که از کلّ کتاب آگاهی داشته و بدان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قرآن کریمی است که در کتاب محفوظی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پاکان نمی‌توانند به آن دست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 ظاهری با اجزای بدن و دیگری، مسّ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طهارت ظاهری با اجزای بدن و دیگری، طهارت باطنی با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قرآن پی می‌بریم که خداوند متعال لفظ مسّ را در هر دو معنا به کار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ظاهری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أَنِّی یَکُونُ لِی وَلَدٌ وَلَمْ یَمْسَسْنِی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چگونه فرزندی تواند بود و حال آن‌که مردی به من نزدیک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باطنی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پرهیزکاران را از شیطان وسوسه و خیالی به دل رسد، همان‌دم خدا را به یاد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طهارت نیز در قرآن به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ظاهری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ولباست را پاک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باطنی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مَرْیَمُ إِنَّ اللَّهَ اصْطَفاکِ وَطَهَّرَکِ وَاصْطَفاکِ عَلی نِساءِ الْعالَمِینَ</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همانا خداوند تو را برگزیده و پاکیزه گردانید و بر زنان جهانیان برتری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 نهی بودن و نفی بودن که هر دو به یک صیغه ادا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نهی به این معنا است که قرآن را نباید مسّ کند، که ظهور در مسّ ظاهری دارد و در مقابل آن، مقصود به طهارت نیز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اخبار است و ظهور در مسّ باطنی دارد به این معنا که مسّ نمی‌کند و تماس حاصل نمی‌کند و به تعبیر دیگر، به عمق قرآن نمی‌رسند، مگر کسانی که مطهّرند و طبیعتاً طهارت نیز باطنی معنا می‌شود؛ یعنی کسانی که از هر عیب و نقص و گناهی پاک‌اند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معنای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نمی‌کند کتاب محفوظ را مگر کسانی که مطهّرند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فخر رازی ظهور آیه در مسّ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p>
    <w:p>
      <w:pPr>
        <w:pStyle w:val="BookText"/>
        <w:rPr/>
      </w:pPr>
      <w:r>
        <w:rPr>
          <w:rFonts w:ascii="IRNazanin" w:hAnsi="IRNazanin" w:eastAsia="IRNazanin"/>
          <w:color w:val="111111"/>
          <w:sz w:val="28"/>
          <w:sz w:val="28"/>
          <w:szCs w:val="28"/>
          <w:rtl w:val="true"/>
          <w:lang w:bidi="fa-IR"/>
        </w:rPr>
        <w:t>در این که مطهّران چه کسانی‌اند؟ باز به قرآن مراجعه می‌کنیم؛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چنین می‌خواهد که هر رجس و پلیدی را از شما خانواده نبوت دور سازد و شما را از هر عیب پاک و منزه گرداند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مصداقِ مطهران مشخص و معین شده است؛ آنان کسانی جز اهل‌بیت پیامبرصلی الله علیه وآله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پنجم</w:t>
      </w:r>
    </w:p>
    <w:p>
      <w:pPr>
        <w:pStyle w:val="BookText"/>
        <w:rPr/>
      </w:pPr>
      <w:r>
        <w:rPr>
          <w:rFonts w:ascii="Amiri" w:hAnsi="Amiri" w:eastAsia="Amiri" w:cs="Amiri"/>
          <w:color w:val="111111"/>
          <w:sz w:val="28"/>
          <w:sz w:val="28"/>
          <w:szCs w:val="28"/>
          <w:rtl w:val="true"/>
          <w:lang w:bidi="ar-SA"/>
        </w:rPr>
        <w:t>در تشخیص مصداق اهل‌بیت باید به روایات مراجعه کرد، زیرا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قرآن را فرستادیم تا بر امت آنچه فرستاده شد،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w:t>
      </w:r>
    </w:p>
    <w:p>
      <w:pPr>
        <w:pStyle w:val="BookText"/>
        <w:rPr/>
      </w:pPr>
      <w:r>
        <w:rPr>
          <w:rFonts w:ascii="IRNazanin" w:hAnsi="IRNazanin" w:eastAsia="IRNazanin"/>
          <w:color w:val="111111"/>
          <w:sz w:val="28"/>
          <w:sz w:val="28"/>
          <w:szCs w:val="28"/>
          <w:rtl w:val="true"/>
          <w:lang w:bidi="fa-IR"/>
        </w:rPr>
        <w:t>با مراجعه به روایات فریقین شیعه و سنی پی می‌بریم که مقصود به اهل‌بیت در آیه شریفه، پیامبر اکرم، علی، فاطمه، حسن و حسین‌علیهم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حصر در آیه اضافی است در مقابل همسران پیامبرصلی الله علیه وآله و بقیه صحابه تا آن‌ها از شمول آیه خارج گردند؛ در نتیجه آیه تطهیر شامل بقیه اهل‌بیت‌علیهم السلام از دوازده امام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به سند خود از عائشه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صبحگاهی از حجره خارج شد، در حالی که بر روی دوش او پارچه‌ای از پشم خیاطی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بر او وارد شد، او را داخل کسا کرد، آن‌گاه حسین وارد شد، او نیز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وارد شد، او را نیز داخل آن کرد، بعد علیّ وارد شد، او را نیز داخل کسا نمود؛ 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ام‌سلمه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 روی حسن، حسین، علی و فاطمه پارچه‌ای کشید؛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اینان</w:t>
      </w:r>
    </w:p>
    <w:p>
      <w:pPr>
        <w:pStyle w:val="BookText"/>
        <w:rPr/>
      </w:pPr>
      <w:r>
        <w:rPr>
          <w:rFonts w:ascii="IRNazanin" w:hAnsi="IRNazanin" w:eastAsia="IRNazanin"/>
          <w:color w:val="111111"/>
          <w:sz w:val="28"/>
          <w:sz w:val="28"/>
          <w:szCs w:val="28"/>
          <w:rtl w:val="true"/>
          <w:lang w:bidi="fa-IR"/>
        </w:rPr>
        <w:t>اهل‌بیت من و از خواصّ من هستند، رجس و پلیدی را از آنان دور کن و پاکشان گردان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از عمر بن ابی‌سلمه، ربیب پیامبرصلی الله علیه وآله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تطهیر در خانه ام‌سلمه بر پیامبرصلی الله علیه وآله نازل شد، فاطمه و حسن و حسین را دعوت نمود و روی آنان کسایی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پشت سرش بود؛ آن‌گاه کسا را بر روی همه کشید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 رجس و پلیدی را از آنان دور کن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آنانم؟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 خود هستی، تو بر خیری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به سند خود از انس بن مالک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تا شش ماه هنگام رفتن به نماز صبح مرتب بر درب خانه فاطمه گذر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اهل‌البیت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7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در مسند به سندش از امّ‌سلمه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حجره او بود، فاطمه با ظرفی از آب‌گوشت بر پیامبرصلی الله علیه وآله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حالی که در رختخواب خود نشسته و بر چیزی تکیه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فرزندت را نیز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حجره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این آیه بر پیامبرصلی الله علیه 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w:t>
      </w:r>
    </w:p>
    <w:p>
      <w:pPr>
        <w:pStyle w:val="BookText"/>
        <w:rPr/>
      </w:pPr>
      <w:r>
        <w:rPr>
          <w:rFonts w:ascii="IRNazanin" w:hAnsi="IRNazanin" w:eastAsia="IRNazanin"/>
          <w:color w:val="111111"/>
          <w:sz w:val="28"/>
          <w:sz w:val="28"/>
          <w:szCs w:val="28"/>
          <w:rtl w:val="true"/>
          <w:lang w:bidi="fa-IR"/>
        </w:rPr>
        <w:t>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گوشه کسا را گرفت و بر روی همه کشاند؛ آن‌گاه دستانش را به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و از خواص من هستند، رجس و پلیدی را از آنان دور ساز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خیری، تو بر خیری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مقدمه هفتم</w:t>
      </w:r>
    </w:p>
    <w:p>
      <w:pPr>
        <w:pStyle w:val="BookText"/>
        <w:rPr/>
      </w:pPr>
      <w:r>
        <w:rPr>
          <w:rFonts w:ascii="IRNazanin" w:hAnsi="IRNazanin" w:eastAsia="IRNazanin"/>
          <w:color w:val="111111"/>
          <w:sz w:val="28"/>
          <w:sz w:val="28"/>
          <w:szCs w:val="28"/>
          <w:rtl w:val="true"/>
          <w:lang w:bidi="fa-IR"/>
        </w:rPr>
        <w:t>حصر در آیه تطهیر اضافی است نه حقیقی؛ یعنی طهارت فقط مخصوص شما پنج تن است نه صحابه یا همسران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در زمان نزول آیه از معصومین تنها این پنج تن بوده‌اند و لذا منافات ندارد که آیه تطهیر شامل افرادی شود که از امامان معصوم یکی پس از دیگری بعد از امام حسین‌علیه السلام آمده‌اند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بیت‌علیهم السلام از آن جمله امام زمان‌علیه السلام ولایت تکوینی دارند</w:t>
      </w:r>
      <w:r>
        <w:rPr>
          <w:rFonts w:eastAsia="IRNazanin" w:cs="IRNazanin"/>
          <w:color w:val="111111"/>
          <w:sz w:val="28"/>
          <w:szCs w:val="28"/>
          <w:rtl w:val="true"/>
          <w:lang w:bidi="fa-IR"/>
        </w:rPr>
        <w:t>.</w:t>
      </w:r>
      <w:bookmarkStart w:id="91" w:name="pg126_654"/>
    </w:p>
    <w:p>
      <w:pPr>
        <w:pStyle w:val="Heading2"/>
        <w:numPr>
          <w:ilvl w:val="1"/>
          <w:numId w:val="1"/>
        </w:numPr>
        <w:rPr/>
      </w:pPr>
      <w:bookmarkStart w:id="92" w:name="__RefHeading___Toc939107_211673320"/>
      <w:bookmarkStart w:id="93" w:name="_Toc33"/>
      <w:bookmarkEnd w:id="91"/>
      <w:bookmarkEnd w:id="92"/>
      <w:r>
        <w:rPr>
          <w:rtl w:val="true"/>
        </w:rPr>
        <w:t>سلسله کتب چاپ شده از مؤلف پیرامون مهدویت‌</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bookmarkStart w:id="94" w:name="pg126_658"/>
    </w:p>
    <w:p>
      <w:pPr>
        <w:pStyle w:val="Heading2"/>
        <w:numPr>
          <w:ilvl w:val="1"/>
          <w:numId w:val="1"/>
        </w:numPr>
        <w:rPr/>
      </w:pPr>
      <w:bookmarkStart w:id="95" w:name="__RefHeading___Toc939109_211673320"/>
      <w:bookmarkStart w:id="96" w:name="_Toc34"/>
      <w:bookmarkEnd w:id="94"/>
      <w:bookmarkEnd w:id="95"/>
      <w:r>
        <w:rPr>
          <w:rtl w:val="true"/>
        </w:rPr>
        <w:t>فهرست منشورات مسجد مقدّس جمکران‌</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امیر 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ابوالفتوح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مامقانی بر مکاسب، قسم خیارات،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ایروانی بر 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امان الأخطار،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تحیه الزائر،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فی شرح زیارة العاشور،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ماده ولی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 ماده ولی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ماده ولی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ولی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ولی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حدیث اوّل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کتاب المناقب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کتاب تفسیر القرآن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10105</Words>
  <Characters>39350</Characters>
  <CharactersWithSpaces>48966</CharactersWithSpaces>
  <Paragraphs>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2026-08-16T01:01:21Z</dcterms:created>
  <dc:creator>ghaemiyeh.com</dc:creator>
  <dc:description/>
  <dc:language>en-US</dc:language>
  <cp:lastModifiedBy/>
  <dcterms:modified xsi:type="dcterms:W3CDTF">2026-08-16T04:31:23Z</dcterms:modified>
  <cp:revision>1</cp:revision>
  <dc:subject/>
  <dc:title>بررسی دعا ندبه</dc:title>
</cp:coreProperties>
</file>

<file path=docProps/custom.xml><?xml version="1.0" encoding="utf-8"?>
<Properties xmlns="http://schemas.openxmlformats.org/officeDocument/2006/custom-properties" xmlns:vt="http://schemas.openxmlformats.org/officeDocument/2006/docPropsVTypes"/>
</file>